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65.150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B52</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3213</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地理标志集体商标 泗洪大闸蟹（生态养殖）</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Geographical indication trademark Sihong hairy crab (Ecological breeding)</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230"/>
      </w:pPr>
      <w:r>
        <w:rPr>
          <w:rFonts w:hint="eastAsia"/>
        </w:rPr>
        <w:t>本文件附录</w:t>
      </w:r>
      <w:r>
        <w:t>A</w:t>
      </w:r>
      <w:r>
        <w:rPr>
          <w:rFonts w:hint="eastAsia"/>
        </w:rPr>
        <w:t>和附录</w:t>
      </w:r>
      <w:r>
        <w:t>B</w:t>
      </w:r>
      <w:r>
        <w:rPr>
          <w:rFonts w:hint="eastAsia"/>
        </w:rPr>
        <w:t>是资料性附录。</w:t>
      </w:r>
    </w:p>
    <w:p>
      <w:pPr>
        <w:pStyle w:val="56"/>
        <w:ind w:firstLine="420"/>
      </w:pPr>
      <w:r>
        <w:rPr>
          <w:rFonts w:hint="eastAsia"/>
        </w:rPr>
        <w:t>本文件由泗洪县渔业协会、泗洪县水产技术推广站提出。</w:t>
      </w:r>
    </w:p>
    <w:p>
      <w:pPr>
        <w:pStyle w:val="56"/>
        <w:ind w:firstLine="420"/>
      </w:pPr>
      <w:r>
        <w:rPr>
          <w:rFonts w:hint="eastAsia"/>
        </w:rPr>
        <w:t>本文件由宿迁市农业农村局归口。</w:t>
      </w:r>
    </w:p>
    <w:p>
      <w:pPr>
        <w:pStyle w:val="56"/>
        <w:ind w:firstLine="420"/>
      </w:pPr>
      <w:r>
        <w:rPr>
          <w:rFonts w:hint="eastAsia"/>
        </w:rPr>
        <w:t>本文件起草单位：泗洪县渔业协会、泗洪县水产技术推广站、江苏泗洪县金水特种水产养殖有限公司、泗洪县绿康洪泽湖大闸蟹股份有限公司。</w:t>
      </w:r>
    </w:p>
    <w:p>
      <w:pPr>
        <w:pStyle w:val="56"/>
        <w:ind w:firstLine="420"/>
      </w:pPr>
      <w:r>
        <w:rPr>
          <w:rFonts w:hint="eastAsia"/>
        </w:rPr>
        <w:t>本文件主要起草人：孙修云、李军、王燕、宫子慧、孙永军、李忠伟、王守军、张浩德、李明、王迪红、耿超、刘庆华、姚方艳、苗文琴、丁也、孙翔宇、武海波、李甜甜。</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6D443115F0AA462B8044BD3AAB33EA65"/>
        </w:placeholder>
      </w:sdtPr>
      <w:sdtContent>
        <w:p>
          <w:pPr>
            <w:pStyle w:val="177"/>
            <w:spacing w:before="3" w:beforeLines="1" w:after="686" w:afterLines="220"/>
          </w:pPr>
          <w:bookmarkStart w:id="23" w:name="NEW_STAND_NAME"/>
          <w:r>
            <w:rPr>
              <w:rFonts w:hint="eastAsia"/>
            </w:rPr>
            <w:t>地理标志集体商标</w:t>
          </w:r>
          <w:r>
            <w:t xml:space="preserve"> 泗洪大闸蟹（生态养殖）</w:t>
          </w:r>
        </w:p>
      </w:sdtContent>
    </w:sdt>
    <w:bookmarkEnd w:id="23"/>
    <w:p>
      <w:pPr>
        <w:pStyle w:val="104"/>
        <w:spacing w:before="312" w:after="312"/>
      </w:pPr>
      <w:bookmarkStart w:id="24" w:name="_Toc97191423"/>
      <w:bookmarkStart w:id="25" w:name="_Toc26648465"/>
      <w:bookmarkStart w:id="26" w:name="_Toc26718930"/>
      <w:bookmarkStart w:id="27" w:name="_Toc17233325"/>
      <w:bookmarkStart w:id="28" w:name="_Toc26986771"/>
      <w:bookmarkStart w:id="29" w:name="_Toc26986530"/>
      <w:bookmarkStart w:id="30" w:name="_Toc24884218"/>
      <w:bookmarkStart w:id="31" w:name="_Toc17233333"/>
      <w:bookmarkStart w:id="32" w:name="_Toc24884211"/>
      <w:r>
        <w:rPr>
          <w:rFonts w:hint="eastAsia"/>
        </w:rPr>
        <w:t>范围</w:t>
      </w:r>
      <w:bookmarkEnd w:id="24"/>
      <w:bookmarkEnd w:id="25"/>
      <w:bookmarkEnd w:id="26"/>
      <w:bookmarkEnd w:id="27"/>
      <w:bookmarkEnd w:id="28"/>
      <w:bookmarkEnd w:id="29"/>
      <w:bookmarkEnd w:id="30"/>
      <w:bookmarkEnd w:id="31"/>
      <w:bookmarkEnd w:id="32"/>
    </w:p>
    <w:p>
      <w:pPr>
        <w:pStyle w:val="56"/>
        <w:ind w:firstLine="420"/>
        <w:rPr>
          <w:rFonts w:hAnsi="宋体" w:cs="宋体"/>
          <w:color w:val="000000"/>
          <w:szCs w:val="21"/>
        </w:rPr>
      </w:pPr>
      <w:bookmarkStart w:id="33" w:name="_Toc24884212"/>
      <w:bookmarkStart w:id="34" w:name="_Toc17233326"/>
      <w:bookmarkStart w:id="35" w:name="_Toc26648466"/>
      <w:bookmarkStart w:id="36" w:name="_Toc24884219"/>
      <w:bookmarkStart w:id="37" w:name="_Toc17233334"/>
      <w:r>
        <w:rPr>
          <w:rFonts w:hint="eastAsia" w:hAnsi="宋体" w:cs="宋体"/>
          <w:color w:val="000000"/>
          <w:szCs w:val="21"/>
        </w:rPr>
        <w:t>本文件规定了中华绒</w:t>
      </w:r>
      <w:r>
        <w:rPr>
          <w:rFonts w:hint="eastAsia" w:hAnsi="宋体" w:cs="宋体"/>
          <w:szCs w:val="21"/>
        </w:rPr>
        <w:t>螯蟹（</w:t>
      </w:r>
      <w:r>
        <w:rPr>
          <w:rFonts w:hAnsi="宋体" w:cs="宋体"/>
          <w:szCs w:val="21"/>
        </w:rPr>
        <w:t>Eriocheir sinensis</w:t>
      </w:r>
      <w:r>
        <w:rPr>
          <w:rFonts w:hint="eastAsia" w:hAnsi="宋体" w:cs="宋体"/>
          <w:szCs w:val="21"/>
        </w:rPr>
        <w:t>，河蟹</w:t>
      </w:r>
      <w:r>
        <w:rPr>
          <w:rFonts w:hint="eastAsia" w:hAnsi="宋体" w:cs="宋体"/>
          <w:color w:val="000000"/>
          <w:szCs w:val="21"/>
        </w:rPr>
        <w:t>）的地理标志集体商标“泗洪大闸蟹”生态养殖的术语和定义、环境条件、池塘设施、养殖要求、标志、包装、养殖记录。</w:t>
      </w:r>
    </w:p>
    <w:p>
      <w:pPr>
        <w:pStyle w:val="56"/>
        <w:ind w:firstLine="420"/>
      </w:pPr>
      <w:r>
        <w:rPr>
          <w:rFonts w:hint="eastAsia"/>
        </w:rPr>
        <w:t>本文件适用于“泗洪大闸蟹”国家地理标志集体商标核定范围内的河蟹池塘养殖。</w:t>
      </w:r>
    </w:p>
    <w:p>
      <w:pPr>
        <w:pStyle w:val="104"/>
        <w:spacing w:before="312" w:after="312"/>
      </w:pPr>
      <w:bookmarkStart w:id="38" w:name="_Toc26718931"/>
      <w:bookmarkStart w:id="39" w:name="_Toc26986531"/>
      <w:bookmarkStart w:id="40" w:name="_Toc97191424"/>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F95CDD6611944252ABC2900A49A1CF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26435 中华绒螯蟹 亲蟹、苗种</w:t>
      </w:r>
    </w:p>
    <w:p>
      <w:pPr>
        <w:pStyle w:val="56"/>
        <w:ind w:firstLine="420"/>
      </w:pPr>
      <w:r>
        <w:rPr>
          <w:rFonts w:hint="eastAsia"/>
        </w:rPr>
        <w:t>GB/T 42478 农产品生产档案记载规范</w:t>
      </w:r>
    </w:p>
    <w:p>
      <w:pPr>
        <w:pStyle w:val="56"/>
        <w:ind w:firstLine="420"/>
      </w:pPr>
      <w:r>
        <w:rPr>
          <w:rFonts w:hint="eastAsia"/>
        </w:rPr>
        <w:t>SC/T 1078 中华绒螯蟹配合饲料</w:t>
      </w:r>
    </w:p>
    <w:p>
      <w:pPr>
        <w:pStyle w:val="56"/>
        <w:ind w:firstLine="420"/>
      </w:pPr>
      <w:r>
        <w:rPr>
          <w:rFonts w:hint="eastAsia"/>
        </w:rPr>
        <w:t>NY 5070 无公害食品 水产品中渔药残留限量</w:t>
      </w:r>
    </w:p>
    <w:p>
      <w:pPr>
        <w:pStyle w:val="56"/>
        <w:ind w:firstLine="420"/>
      </w:pPr>
      <w:r>
        <w:rPr>
          <w:rFonts w:hint="eastAsia"/>
        </w:rPr>
        <w:t>NY 5073 无公害食品 水产品中有毒有害物质限量</w:t>
      </w:r>
    </w:p>
    <w:p>
      <w:pPr>
        <w:pStyle w:val="56"/>
        <w:ind w:firstLine="420"/>
      </w:pPr>
      <w:r>
        <w:rPr>
          <w:rFonts w:hint="eastAsia"/>
        </w:rPr>
        <w:t>NY 5071 无公害食品 渔药使用准则</w:t>
      </w:r>
    </w:p>
    <w:p>
      <w:pPr>
        <w:pStyle w:val="56"/>
        <w:ind w:firstLine="420"/>
      </w:pPr>
      <w:r>
        <w:rPr>
          <w:rFonts w:hint="eastAsia"/>
        </w:rPr>
        <w:t>NY/T 658 绿色食品 包装通用准则</w:t>
      </w:r>
    </w:p>
    <w:p>
      <w:pPr>
        <w:pStyle w:val="56"/>
        <w:ind w:firstLine="420"/>
      </w:pPr>
      <w:r>
        <w:rPr>
          <w:rFonts w:hint="eastAsia"/>
        </w:rPr>
        <w:t>NY/T 5361 无公害农产品 淡水养殖产地环境条件</w:t>
      </w:r>
    </w:p>
    <w:p>
      <w:pPr>
        <w:pStyle w:val="56"/>
        <w:ind w:firstLine="420"/>
      </w:pPr>
      <w:r>
        <w:rPr>
          <w:rFonts w:hint="eastAsia"/>
        </w:rPr>
        <w:t>DB 32/4043 池塘养殖尾水排放标准</w:t>
      </w:r>
    </w:p>
    <w:p>
      <w:pPr>
        <w:pStyle w:val="56"/>
        <w:ind w:firstLine="420"/>
      </w:pPr>
      <w:r>
        <w:rPr>
          <w:rFonts w:hint="eastAsia"/>
        </w:rPr>
        <w:t>DB 3213/T 1018 中华绒螯蟹冬季暂养技术规程</w:t>
      </w:r>
    </w:p>
    <w:p>
      <w:pPr>
        <w:pStyle w:val="104"/>
        <w:spacing w:before="312" w:after="312"/>
      </w:pPr>
      <w:bookmarkStart w:id="42" w:name="_Toc97191425"/>
      <w:r>
        <w:rPr>
          <w:rFonts w:hint="eastAsia"/>
          <w:szCs w:val="21"/>
        </w:rPr>
        <w:t>术语和定义</w:t>
      </w:r>
      <w:bookmarkEnd w:id="42"/>
    </w:p>
    <w:sdt>
      <w:sdtPr>
        <w:id w:val="-1909835108"/>
        <w:placeholder>
          <w:docPart w:val="E0E4825339594ECFBA783100F269CB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105"/>
        <w:spacing w:before="156" w:after="156"/>
      </w:pPr>
      <w:r>
        <w:br w:type="textWrapping"/>
      </w:r>
      <w:r>
        <w:rPr>
          <w:rFonts w:hint="eastAsia"/>
        </w:rPr>
        <w:t xml:space="preserve"> </w:t>
      </w:r>
      <w:r>
        <w:t xml:space="preserve">   </w:t>
      </w:r>
      <w:r>
        <w:rPr>
          <w:rFonts w:hint="eastAsia"/>
        </w:rPr>
        <w:t>泗洪大闸蟹Sihong hairy crab</w:t>
      </w:r>
    </w:p>
    <w:p>
      <w:pPr>
        <w:pStyle w:val="56"/>
        <w:ind w:firstLine="420"/>
      </w:pPr>
      <w:r>
        <w:rPr>
          <w:rFonts w:hint="eastAsia"/>
        </w:rPr>
        <w:t>是经国家工商行政总局核准注册的地理标志集体商标“泗洪大闸蟹”产品，产地区域范围为泗洪县行政区域内，地理坐标为北纬</w:t>
      </w:r>
      <w:r>
        <w:t>33</w:t>
      </w:r>
      <w:r>
        <w:rPr>
          <w:rFonts w:hint="eastAsia"/>
        </w:rPr>
        <w:t>°</w:t>
      </w:r>
      <w:r>
        <w:t>08</w:t>
      </w:r>
      <w:r>
        <w:rPr>
          <w:rFonts w:hint="eastAsia"/>
        </w:rPr>
        <w:t>′―</w:t>
      </w:r>
      <w:r>
        <w:t xml:space="preserve"> 33</w:t>
      </w:r>
      <w:r>
        <w:rPr>
          <w:rFonts w:hint="eastAsia"/>
        </w:rPr>
        <w:t>°</w:t>
      </w:r>
      <w:r>
        <w:t>44</w:t>
      </w:r>
      <w:r>
        <w:rPr>
          <w:rFonts w:hint="eastAsia"/>
        </w:rPr>
        <w:t>′，东经</w:t>
      </w:r>
      <w:r>
        <w:t>117</w:t>
      </w:r>
      <w:r>
        <w:rPr>
          <w:rFonts w:hint="eastAsia"/>
        </w:rPr>
        <w:t>°</w:t>
      </w:r>
      <w:r>
        <w:t>56</w:t>
      </w:r>
      <w:r>
        <w:rPr>
          <w:rFonts w:hint="eastAsia"/>
        </w:rPr>
        <w:t>′―</w:t>
      </w:r>
      <w:r>
        <w:t xml:space="preserve"> 118</w:t>
      </w:r>
      <w:r>
        <w:rPr>
          <w:rFonts w:hint="eastAsia"/>
        </w:rPr>
        <w:t>°</w:t>
      </w:r>
      <w:r>
        <w:t>46</w:t>
      </w:r>
      <w:r>
        <w:rPr>
          <w:rFonts w:hint="eastAsia"/>
        </w:rPr>
        <w:t>′。</w:t>
      </w:r>
    </w:p>
    <w:p>
      <w:pPr>
        <w:pStyle w:val="105"/>
        <w:spacing w:before="156" w:after="156"/>
      </w:pPr>
      <w:r>
        <w:br w:type="textWrapping"/>
      </w:r>
      <w:r>
        <w:rPr>
          <w:rFonts w:hint="eastAsia"/>
        </w:rPr>
        <w:t xml:space="preserve"> </w:t>
      </w:r>
      <w:r>
        <w:t xml:space="preserve">   </w:t>
      </w:r>
      <w:r>
        <w:rPr>
          <w:rFonts w:hint="eastAsia"/>
        </w:rPr>
        <w:t>生态养殖  Ecological breeding</w:t>
      </w:r>
    </w:p>
    <w:p>
      <w:pPr>
        <w:pStyle w:val="56"/>
        <w:ind w:firstLine="420"/>
      </w:pPr>
      <w:r>
        <w:rPr>
          <w:rFonts w:hint="eastAsia"/>
        </w:rPr>
        <w:t>在河蟹养殖池塘内，通过种植水草、放养螺蛳、滤食性鱼类、补充有益菌等技术和管理措施，使河蟹、水草等不同生物在同一池塘环境中共同生长，实现保持生态平衡、提高养殖效益的一种养殖方式。</w:t>
      </w:r>
    </w:p>
    <w:p>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“四定、四看”投饵 the </w:t>
      </w:r>
      <w:r>
        <w:rPr>
          <w:rFonts w:hint="eastAsia" w:ascii="黑体" w:hAnsi="黑体" w:eastAsia="黑体"/>
          <w:lang w:eastAsia="zh-CN"/>
        </w:rPr>
        <w:t>“</w:t>
      </w:r>
      <w:r>
        <w:rPr>
          <w:rFonts w:hint="eastAsia" w:ascii="黑体" w:hAnsi="黑体" w:eastAsia="黑体"/>
        </w:rPr>
        <w:t>four fixations and four observations</w:t>
      </w:r>
      <w:r>
        <w:rPr>
          <w:rFonts w:hint="eastAsia" w:ascii="黑体" w:hAnsi="黑体" w:eastAsia="黑体"/>
          <w:lang w:eastAsia="zh-CN"/>
        </w:rPr>
        <w:t>”</w:t>
      </w:r>
      <w:r>
        <w:rPr>
          <w:rFonts w:hint="eastAsia" w:ascii="黑体" w:hAnsi="黑体" w:eastAsia="黑体"/>
        </w:rPr>
        <w:t>in feeding</w:t>
      </w:r>
    </w:p>
    <w:p>
      <w:pPr>
        <w:pStyle w:val="56"/>
        <w:ind w:firstLine="420"/>
      </w:pPr>
      <w:r>
        <w:rPr>
          <w:rFonts w:hint="eastAsia"/>
        </w:rPr>
        <w:t>“四定”，即“定时、定位、定量、定质”，是按固定的时间、位置、数量和质量进行投饲的规定。</w:t>
      </w:r>
    </w:p>
    <w:p>
      <w:pPr>
        <w:pStyle w:val="56"/>
        <w:ind w:firstLine="420"/>
      </w:pPr>
      <w:r>
        <w:rPr>
          <w:rFonts w:hint="eastAsia"/>
        </w:rPr>
        <w:t>“四看”，即“看季节、看天气、看水质、看河蟹活动和吃食情况”，是根据季节、天气情况、水质情况、河蟹活动和吃食情况确定投饲量的规定。</w:t>
      </w:r>
    </w:p>
    <w:p>
      <w:pPr>
        <w:pStyle w:val="223"/>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投饲率　feeding rate</w:t>
      </w:r>
    </w:p>
    <w:p>
      <w:pPr>
        <w:pStyle w:val="56"/>
        <w:ind w:firstLine="420"/>
      </w:pPr>
      <w:r>
        <w:rPr>
          <w:rFonts w:hint="eastAsia"/>
        </w:rPr>
        <w:t>投饲量占池塘内河蟹总体重的百分率。</w:t>
      </w:r>
    </w:p>
    <w:p>
      <w:pPr>
        <w:pStyle w:val="104"/>
        <w:spacing w:before="312" w:after="312"/>
      </w:pPr>
      <w:r>
        <w:rPr>
          <w:rFonts w:hint="eastAsia"/>
        </w:rPr>
        <w:t>环境条件</w:t>
      </w:r>
    </w:p>
    <w:p>
      <w:pPr>
        <w:pStyle w:val="223"/>
        <w:rPr>
          <w:rFonts w:ascii="黑体" w:hAnsi="黑体" w:eastAsia="黑体"/>
        </w:rPr>
      </w:pPr>
      <w:r>
        <w:rPr>
          <w:rFonts w:hint="eastAsia" w:ascii="黑体" w:hAnsi="黑体" w:eastAsia="黑体"/>
        </w:rPr>
        <w:t>场地</w:t>
      </w: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rPr>
        <w:t>要求生态环境良好、水源充足、沙壤土或粘壤土质，无工业“三废”（废气、废水、废渣）及农业、城镇生活、医疗废弃物污染，其养殖环境应符合NY/T 5361的规定</w:t>
      </w:r>
      <w:r>
        <w:rPr>
          <w:rFonts w:hint="eastAsia" w:ascii="黑体" w:hAnsi="黑体" w:eastAsia="黑体"/>
        </w:rPr>
        <w:t>。</w:t>
      </w:r>
    </w:p>
    <w:p>
      <w:pPr>
        <w:pStyle w:val="223"/>
      </w:pPr>
      <w:r>
        <w:rPr>
          <w:rFonts w:hint="eastAsia" w:ascii="黑体" w:hAnsi="黑体" w:eastAsia="黑体"/>
        </w:rPr>
        <w:t>水质</w:t>
      </w:r>
      <w:r>
        <w:rPr>
          <w:rFonts w:ascii="黑体" w:hAnsi="黑体" w:eastAsia="黑体"/>
        </w:rPr>
        <w:br w:type="textWrapping"/>
      </w:r>
      <w:r>
        <w:rPr>
          <w:rFonts w:hint="eastAsia"/>
        </w:rPr>
        <w:t xml:space="preserve"> </w:t>
      </w:r>
      <w:r>
        <w:t xml:space="preserve">   </w:t>
      </w:r>
      <w:r>
        <w:rPr>
          <w:rFonts w:hint="eastAsia"/>
        </w:rPr>
        <w:t>养殖用水无异色、异味，水质应符合NY/T 5361的规定。</w:t>
      </w:r>
    </w:p>
    <w:p>
      <w:pPr>
        <w:pStyle w:val="223"/>
      </w:pPr>
      <w:r>
        <w:rPr>
          <w:rFonts w:hint="eastAsia" w:ascii="黑体" w:hAnsi="黑体" w:eastAsia="黑体"/>
        </w:rPr>
        <w:t>尾水排放</w:t>
      </w:r>
      <w:r>
        <w:rPr>
          <w:rFonts w:ascii="黑体" w:hAnsi="黑体" w:eastAsia="黑体"/>
        </w:rPr>
        <w:br w:type="textWrapping"/>
      </w:r>
      <w:r>
        <w:rPr>
          <w:rFonts w:hint="eastAsia"/>
        </w:rPr>
        <w:t xml:space="preserve"> </w:t>
      </w:r>
      <w:r>
        <w:t xml:space="preserve">   </w:t>
      </w:r>
      <w:r>
        <w:rPr>
          <w:rFonts w:hint="eastAsia"/>
          <w:lang w:eastAsia="zh-CN"/>
        </w:rPr>
        <w:t>养殖排放的尾水对周边环境不产生危害，</w:t>
      </w:r>
      <w:r>
        <w:rPr>
          <w:rFonts w:hint="eastAsia"/>
        </w:rPr>
        <w:t>养殖尾水排放应符合DB 32/4043的规定。</w:t>
      </w:r>
    </w:p>
    <w:p>
      <w:pPr>
        <w:pStyle w:val="104"/>
        <w:spacing w:before="312" w:after="312"/>
      </w:pPr>
      <w:r>
        <w:rPr>
          <w:rFonts w:hint="eastAsia"/>
        </w:rPr>
        <w:t>池塘设施</w:t>
      </w:r>
    </w:p>
    <w:p>
      <w:pPr>
        <w:pStyle w:val="223"/>
      </w:pPr>
      <w:r>
        <w:rPr>
          <w:rFonts w:hint="eastAsia" w:ascii="黑体" w:hAnsi="黑体" w:eastAsia="黑体"/>
        </w:rPr>
        <w:t>池塘形状及规格</w:t>
      </w:r>
      <w:r>
        <w:rPr>
          <w:rFonts w:ascii="黑体" w:hAnsi="黑体" w:eastAsia="黑体"/>
        </w:rPr>
        <w:br w:type="textWrapping"/>
      </w:r>
      <w:r>
        <w:rPr>
          <w:rFonts w:hint="eastAsia"/>
        </w:rPr>
        <w:t xml:space="preserve"> </w:t>
      </w:r>
      <w:r>
        <w:t xml:space="preserve">   </w:t>
      </w:r>
      <w:r>
        <w:rPr>
          <w:rFonts w:hint="eastAsia"/>
        </w:rPr>
        <w:t>池塘以长方形、东西走向为宜，面积10亩～30亩为宜。池埂上顶宽度1.5 m～2 m，池埂顶部及坡面夯实、平整、无杂草</w:t>
      </w:r>
      <w:r>
        <w:rPr>
          <w:rFonts w:hint="eastAsia"/>
          <w:lang w:eastAsia="zh-CN"/>
        </w:rPr>
        <w:t>。</w:t>
      </w:r>
      <w:r>
        <w:rPr>
          <w:rFonts w:hint="eastAsia"/>
        </w:rPr>
        <w:t>池埂坡比1:2～1:2.5，采用PE膜和聚乙烯网布护坡的，</w:t>
      </w:r>
      <w:r>
        <w:rPr>
          <w:rFonts w:hint="eastAsia"/>
          <w:lang w:eastAsia="zh-CN"/>
        </w:rPr>
        <w:t>池埂</w:t>
      </w:r>
      <w:r>
        <w:rPr>
          <w:rFonts w:hint="eastAsia"/>
        </w:rPr>
        <w:t>坡比1:1～1:1.5</w:t>
      </w:r>
      <w:r>
        <w:rPr>
          <w:rFonts w:hint="eastAsia"/>
          <w:lang w:eastAsia="zh-CN"/>
        </w:rPr>
        <w:t>。</w:t>
      </w:r>
      <w:r>
        <w:rPr>
          <w:rFonts w:hint="eastAsia"/>
        </w:rPr>
        <w:t>池底平整，落差小于0.1 m，池塘可蓄水深度不低于0.8 m。</w:t>
      </w:r>
    </w:p>
    <w:p>
      <w:pPr>
        <w:pStyle w:val="132"/>
      </w:pPr>
      <w:r>
        <w:rPr>
          <w:rFonts w:hint="eastAsia"/>
        </w:rPr>
        <w:t>平底型池塘，四周也可沿池埂坡脚向池内延伸4 m～5 m缓坡，落差0.3 m～0.4 m，使池塘呈“碟”形。</w:t>
      </w:r>
    </w:p>
    <w:p>
      <w:pPr>
        <w:pStyle w:val="132"/>
      </w:pPr>
      <w:r>
        <w:rPr>
          <w:rFonts w:hint="eastAsia"/>
        </w:rPr>
        <w:t>环沟型池塘，距离池埂坡脚5 m～8 m米开沟，沟上口宽8 m～10 m，沟坡比1:3～1:3.5，沟深0.5 m～0.7 m，环沟面积占池塘面积的30%～35%。</w:t>
      </w:r>
    </w:p>
    <w:p>
      <w:pPr>
        <w:pStyle w:val="223"/>
      </w:pPr>
      <w:r>
        <w:rPr>
          <w:rFonts w:hint="eastAsia" w:ascii="黑体" w:hAnsi="黑体" w:eastAsia="黑体"/>
        </w:rPr>
        <w:t>进排水</w:t>
      </w:r>
      <w:r>
        <w:rPr>
          <w:rFonts w:ascii="黑体" w:hAnsi="黑体" w:eastAsia="黑体"/>
        </w:rPr>
        <w:br w:type="textWrapping"/>
      </w:r>
      <w:r>
        <w:rPr>
          <w:rFonts w:hint="eastAsia"/>
        </w:rPr>
        <w:t xml:space="preserve"> </w:t>
      </w:r>
      <w:r>
        <w:t xml:space="preserve">   </w:t>
      </w:r>
      <w:r>
        <w:rPr>
          <w:rFonts w:hint="eastAsia"/>
        </w:rPr>
        <w:t>进排水系统独立，进水口用80目筛绢网过滤，排水口用15目左右聚乙烯网过滤。</w:t>
      </w:r>
    </w:p>
    <w:p>
      <w:pPr>
        <w:pStyle w:val="223"/>
      </w:pPr>
      <w:r>
        <w:rPr>
          <w:rFonts w:hint="eastAsia" w:ascii="黑体" w:hAnsi="黑体" w:eastAsia="黑体"/>
        </w:rPr>
        <w:t>防逃设施</w:t>
      </w:r>
      <w:r>
        <w:rPr>
          <w:rFonts w:ascii="黑体" w:hAnsi="黑体" w:eastAsia="黑体"/>
        </w:rPr>
        <w:br w:type="textWrapping"/>
      </w:r>
      <w:r>
        <w:rPr>
          <w:rFonts w:hint="eastAsia"/>
        </w:rPr>
        <w:t xml:space="preserve"> </w:t>
      </w:r>
      <w:r>
        <w:t xml:space="preserve">   </w:t>
      </w:r>
      <w:r>
        <w:rPr>
          <w:rFonts w:hint="eastAsia"/>
        </w:rPr>
        <w:t>池埂或池埂坡脚四周可选用安装硬质塑料板或“聚乙烯网片+塑料膜”等防逃设施，埋入地下0.2 m～0.3 m，高出地面0.6 m以上，以竹木桩或钢管做支撑固定。</w:t>
      </w:r>
    </w:p>
    <w:p>
      <w:pPr>
        <w:pStyle w:val="223"/>
        <w:ind w:left="420" w:hanging="420" w:hangingChars="200"/>
        <w:rPr>
          <w:rFonts w:ascii="黑体" w:hAnsi="黑体" w:eastAsia="黑体"/>
        </w:rPr>
      </w:pPr>
      <w:r>
        <w:rPr>
          <w:rFonts w:hint="eastAsia" w:ascii="黑体" w:hAnsi="黑体" w:eastAsia="黑体"/>
        </w:rPr>
        <w:t>隔离网</w:t>
      </w:r>
    </w:p>
    <w:p>
      <w:pPr>
        <w:pStyle w:val="224"/>
        <w:ind w:left="420" w:hanging="420" w:hangingChars="200"/>
        <w:rPr>
          <w:rFonts w:ascii="黑体" w:hAnsi="黑体" w:eastAsia="黑体"/>
        </w:rPr>
      </w:pPr>
      <w:r>
        <w:rPr>
          <w:rFonts w:hint="eastAsia" w:ascii="黑体" w:hAnsi="黑体" w:eastAsia="黑体"/>
        </w:rPr>
        <w:t>隔离网设置</w:t>
      </w:r>
    </w:p>
    <w:p>
      <w:pPr>
        <w:pStyle w:val="56"/>
        <w:ind w:firstLine="420"/>
      </w:pPr>
      <w:r>
        <w:rPr>
          <w:rFonts w:hint="eastAsia"/>
        </w:rPr>
        <w:t>养殖前期用隔离网将河蟹与水草分开养殖，隔离网内面积为池塘总面积的50%～60%，隔离网内为水草栽植区、网外为河蟹暂养区。</w:t>
      </w:r>
    </w:p>
    <w:p>
      <w:pPr>
        <w:pStyle w:val="56"/>
        <w:ind w:firstLine="420"/>
      </w:pPr>
      <w:r>
        <w:rPr>
          <w:rFonts w:hint="eastAsia"/>
        </w:rPr>
        <w:t>平底池在池的中央或池塘一端设置隔离网；环沟池在距离环沟边5 m～6 m处的滩面设置隔离网。隔离网为1 m高的聚乙烯7绞网布，将聚乙烯网布埋入地下0.2 m～0.3 m并压实，高出地面0.6 m～0.7 m，用木桩等支撑，上端用聚乙烯绳拉紧，隔离网外侧上边缘缝宽0.2 m的塑料膜做倒檐。</w:t>
      </w:r>
    </w:p>
    <w:p>
      <w:pPr>
        <w:pStyle w:val="224"/>
      </w:pPr>
      <w:r>
        <w:rPr>
          <w:rFonts w:hint="eastAsia" w:ascii="黑体" w:hAnsi="黑体" w:eastAsia="黑体"/>
        </w:rPr>
        <w:t>隔离网撤除</w:t>
      </w:r>
      <w:r>
        <w:rPr>
          <w:rFonts w:ascii="黑体" w:hAnsi="黑体" w:eastAsia="黑体"/>
        </w:rPr>
        <w:br w:type="textWrapping"/>
      </w:r>
      <w:r>
        <w:t xml:space="preserve">    </w:t>
      </w:r>
      <w:r>
        <w:rPr>
          <w:rFonts w:hint="eastAsia"/>
        </w:rPr>
        <w:t>4月～5月，河蟹第2次脱壳～第3次脱壳期间，当隔离网内水草生长达到旺盛期，可在7 d～10 d内逐步将隔离网撤除，让河蟹进入隔离网内。</w:t>
      </w:r>
    </w:p>
    <w:p>
      <w:pPr>
        <w:pStyle w:val="223"/>
      </w:pPr>
      <w:r>
        <w:rPr>
          <w:rFonts w:hint="eastAsia" w:ascii="黑体" w:hAnsi="黑体" w:eastAsia="黑体"/>
        </w:rPr>
        <w:t>增氧设施</w:t>
      </w:r>
      <w:r>
        <w:rPr>
          <w:rFonts w:ascii="黑体" w:hAnsi="黑体" w:eastAsia="黑体"/>
        </w:rPr>
        <w:br w:type="textWrapping"/>
      </w:r>
      <w:r>
        <w:rPr>
          <w:rFonts w:hint="eastAsia"/>
        </w:rPr>
        <w:t xml:space="preserve"> </w:t>
      </w:r>
      <w:r>
        <w:t xml:space="preserve">   </w:t>
      </w:r>
      <w:r>
        <w:rPr>
          <w:rFonts w:hint="eastAsia"/>
        </w:rPr>
        <w:t>可按照每亩不小于0.5 kw功率配备增氧设施，以微孔增氧和水车式增氧机相结合方式为宜。微孔增氧曝气点行间距不超过4 m×4 m；水车式增氧机每个塘口不少于2台，采取对角线安装，每台功率不超过1.5 kw为宜。</w:t>
      </w:r>
    </w:p>
    <w:p>
      <w:pPr>
        <w:pStyle w:val="104"/>
        <w:spacing w:before="312" w:after="312"/>
      </w:pPr>
      <w:r>
        <w:rPr>
          <w:rFonts w:hint="eastAsia"/>
        </w:rPr>
        <w:t>养殖要求</w:t>
      </w:r>
    </w:p>
    <w:p>
      <w:pPr>
        <w:pStyle w:val="223"/>
        <w:ind w:left="420" w:hanging="420" w:hangingChars="200"/>
        <w:rPr>
          <w:rFonts w:ascii="黑体" w:hAnsi="黑体" w:eastAsia="黑体"/>
        </w:rPr>
      </w:pPr>
      <w:r>
        <w:rPr>
          <w:rFonts w:hint="eastAsia" w:ascii="黑体" w:hAnsi="黑体" w:eastAsia="黑体"/>
        </w:rPr>
        <w:t>放养前准备</w:t>
      </w:r>
    </w:p>
    <w:p>
      <w:pPr>
        <w:pStyle w:val="224"/>
        <w:ind w:left="420" w:hanging="420" w:hangingChars="200"/>
        <w:rPr>
          <w:rFonts w:ascii="黑体" w:hAnsi="黑体" w:eastAsia="黑体"/>
        </w:rPr>
      </w:pPr>
      <w:r>
        <w:rPr>
          <w:rFonts w:hint="eastAsia" w:ascii="黑体" w:hAnsi="黑体" w:eastAsia="黑体"/>
        </w:rPr>
        <w:t>清塘</w:t>
      </w:r>
    </w:p>
    <w:p>
      <w:pPr>
        <w:pStyle w:val="56"/>
        <w:ind w:firstLine="420"/>
      </w:pPr>
      <w:r>
        <w:rPr>
          <w:rFonts w:hint="eastAsia"/>
        </w:rPr>
        <w:t>晒塘，清除池底及环沟内过多淤泥，保持底部淤泥深度0.1 m～0.2 m为宜，充分曝晒至底泥龟裂，有条件的可用农机均匀翻耕、耙细底泥。</w:t>
      </w:r>
    </w:p>
    <w:p>
      <w:pPr>
        <w:pStyle w:val="56"/>
        <w:ind w:firstLine="420"/>
      </w:pPr>
      <w:r>
        <w:rPr>
          <w:rFonts w:hint="eastAsia"/>
        </w:rPr>
        <w:t>药物清塘，选用生石灰或漂白粉带水清塘为宜，如选用生石灰清塘，可于蟹种放养前25 d～30 d，池塘水位加至最高水位线，生石灰用量150 kg/亩·米～250 kg/亩·米；如选用漂白粉（有效氯≥25%），可于蟹种放养前7 d～10 d，池塘水位加至最高水位线，漂白粉用量为50 kg/亩·米～100 kg/亩·米。</w:t>
      </w:r>
    </w:p>
    <w:p>
      <w:pPr>
        <w:pStyle w:val="224"/>
      </w:pPr>
      <w:r>
        <w:rPr>
          <w:rFonts w:hint="eastAsia" w:ascii="黑体" w:hAnsi="黑体" w:eastAsia="黑体"/>
        </w:rPr>
        <w:t>水草种植与管理</w:t>
      </w:r>
      <w:r>
        <w:rPr>
          <w:rFonts w:ascii="黑体" w:hAnsi="黑体" w:eastAsia="黑体"/>
        </w:rPr>
        <w:br w:type="textWrapping"/>
      </w:r>
      <w:r>
        <w:rPr>
          <w:rFonts w:hint="eastAsia"/>
        </w:rPr>
        <w:t xml:space="preserve"> </w:t>
      </w:r>
      <w:r>
        <w:t xml:space="preserve">   </w:t>
      </w:r>
      <w:r>
        <w:rPr>
          <w:rFonts w:hint="eastAsia"/>
        </w:rPr>
        <w:t>清塘药物的药效消失后3 d～5 d，池塘水位降至0.2 m～0.3 m，移栽水草。以复合型、多品种搭配为宜，适宜的水草品种有伊乐藻、轮叶黑藻、矮型苦草、狐尾藻等。蟹种放养前，在隔离网外种植伊乐藻，隔离网内种植轮叶黑藻和矮型苦草等，以5月～6月水草生长旺盛期覆盖面积达到池塘面积的50%～60%为宜。日常管理，视水草长势及时稀疏、割刈，保持草头淹没在水面下0.2 m～0.3 m为宜。</w:t>
      </w:r>
    </w:p>
    <w:p>
      <w:pPr>
        <w:pStyle w:val="224"/>
      </w:pPr>
      <w:r>
        <w:rPr>
          <w:rFonts w:hint="eastAsia" w:ascii="黑体" w:hAnsi="黑体" w:eastAsia="黑体"/>
        </w:rPr>
        <w:t>肥水</w:t>
      </w:r>
      <w:r>
        <w:rPr>
          <w:rFonts w:ascii="黑体" w:hAnsi="黑体" w:eastAsia="黑体"/>
        </w:rPr>
        <w:br w:type="textWrapping"/>
      </w:r>
      <w:r>
        <w:rPr>
          <w:rFonts w:hint="eastAsia"/>
        </w:rPr>
        <w:t xml:space="preserve"> </w:t>
      </w:r>
      <w:r>
        <w:t xml:space="preserve">   </w:t>
      </w:r>
      <w:r>
        <w:rPr>
          <w:rFonts w:hint="eastAsia"/>
        </w:rPr>
        <w:t>水草栽植后，可选用生物有机肥等进行肥水，使池塘水色呈茶褐色或黄褐色为宜。养殖过程中池水需持续保持一定肥度，6月份之前池水透明度0.2 m～0.3 m为宜，6月份及以后池水透明度0.5 m以上为宜。</w:t>
      </w:r>
    </w:p>
    <w:p>
      <w:pPr>
        <w:pStyle w:val="223"/>
        <w:ind w:left="420" w:hanging="420" w:hangingChars="200"/>
        <w:rPr>
          <w:rFonts w:ascii="黑体" w:hAnsi="黑体" w:eastAsia="黑体"/>
        </w:rPr>
      </w:pPr>
      <w:r>
        <w:rPr>
          <w:rFonts w:hint="eastAsia" w:ascii="黑体" w:hAnsi="黑体" w:eastAsia="黑体"/>
        </w:rPr>
        <w:t>蟹种放养</w:t>
      </w:r>
    </w:p>
    <w:p>
      <w:pPr>
        <w:pStyle w:val="224"/>
        <w:ind w:left="420" w:hanging="420" w:hangingChars="200"/>
        <w:rPr>
          <w:rFonts w:ascii="黑体" w:hAnsi="黑体" w:eastAsia="黑体"/>
        </w:rPr>
      </w:pPr>
      <w:r>
        <w:rPr>
          <w:rFonts w:hint="eastAsia" w:ascii="黑体" w:hAnsi="黑体" w:eastAsia="黑体"/>
        </w:rPr>
        <w:t>蟹种选择</w:t>
      </w:r>
    </w:p>
    <w:p>
      <w:pPr>
        <w:pStyle w:val="56"/>
        <w:ind w:firstLine="420"/>
      </w:pPr>
      <w:r>
        <w:rPr>
          <w:rFonts w:hint="eastAsia"/>
        </w:rPr>
        <w:t>选择亲本为长江水系中华绒螯蟹的优良品种</w:t>
      </w:r>
      <w:r>
        <w:rPr>
          <w:rFonts w:hint="eastAsia"/>
          <w:lang w:eastAsia="zh-CN"/>
        </w:rPr>
        <w:t>，</w:t>
      </w:r>
      <w:r>
        <w:rPr>
          <w:rFonts w:hint="eastAsia"/>
        </w:rPr>
        <w:t>母本规格为200 g～250 g繁育的后代。蟹种规格整齐，附肢完整，体表光洁无附着物，背甲色质一致无杂色，体质强壮，经检验检疫合格的健康蟹种，应符合GB/T 26435的要求。</w:t>
      </w:r>
    </w:p>
    <w:p>
      <w:pPr>
        <w:pStyle w:val="224"/>
        <w:ind w:left="420" w:hanging="420" w:hangingChars="200"/>
      </w:pPr>
      <w:r>
        <w:rPr>
          <w:rFonts w:hint="eastAsia" w:ascii="黑体" w:hAnsi="黑体" w:eastAsia="黑体"/>
        </w:rPr>
        <w:t>蟹种规格</w:t>
      </w:r>
      <w:bookmarkStart w:id="44" w:name="_Hlk146093865"/>
      <w:r>
        <w:rPr>
          <w:rFonts w:ascii="黑体" w:hAnsi="黑体" w:eastAsia="黑体"/>
        </w:rPr>
        <w:br w:type="textWrapping"/>
      </w:r>
      <w:bookmarkEnd w:id="44"/>
      <w:r>
        <w:rPr>
          <w:rFonts w:hint="eastAsia"/>
        </w:rPr>
        <w:t>80只/kg～200只/kg为宜。</w:t>
      </w:r>
    </w:p>
    <w:p>
      <w:pPr>
        <w:pStyle w:val="224"/>
      </w:pPr>
      <w:r>
        <w:rPr>
          <w:rFonts w:hint="eastAsia" w:ascii="黑体" w:hAnsi="黑体" w:eastAsia="黑体"/>
        </w:rPr>
        <w:t>放养时间</w:t>
      </w:r>
      <w:r>
        <w:rPr>
          <w:rFonts w:ascii="黑体" w:hAnsi="黑体" w:eastAsia="黑体"/>
        </w:rPr>
        <w:br w:type="textWrapping"/>
      </w:r>
      <w:r>
        <w:t xml:space="preserve">    </w:t>
      </w:r>
      <w:r>
        <w:rPr>
          <w:rFonts w:hint="eastAsia"/>
        </w:rPr>
        <w:t>3月底之前，水温8 ℃以上即可放养蟹种，选择晴好天气，一次放足为宜。</w:t>
      </w:r>
    </w:p>
    <w:p>
      <w:pPr>
        <w:pStyle w:val="224"/>
      </w:pPr>
      <w:r>
        <w:rPr>
          <w:rFonts w:hint="eastAsia" w:ascii="黑体" w:hAnsi="黑体" w:eastAsia="黑体"/>
        </w:rPr>
        <w:t>放养密度</w:t>
      </w:r>
      <w:r>
        <w:rPr>
          <w:rFonts w:ascii="黑体" w:hAnsi="黑体" w:eastAsia="黑体"/>
        </w:rPr>
        <w:br w:type="textWrapping"/>
      </w:r>
      <w:r>
        <w:rPr>
          <w:rFonts w:hint="eastAsia"/>
        </w:rPr>
        <w:t xml:space="preserve"> </w:t>
      </w:r>
      <w:r>
        <w:t xml:space="preserve">   </w:t>
      </w:r>
      <w:r>
        <w:rPr>
          <w:rFonts w:hint="eastAsia"/>
        </w:rPr>
        <w:t>放养蟹种的规格、密度应根据计划养殖成蟹规格与产量，以及养殖基础设施配套情况、资金投入情况、技术管理水平确定。放养蟹种的规格、密度见附录A。</w:t>
      </w:r>
    </w:p>
    <w:p>
      <w:pPr>
        <w:pStyle w:val="223"/>
        <w:ind w:left="420" w:hanging="420" w:hangingChars="200"/>
        <w:rPr>
          <w:rFonts w:ascii="黑体" w:hAnsi="黑体" w:eastAsia="黑体"/>
        </w:rPr>
      </w:pPr>
      <w:r>
        <w:rPr>
          <w:rFonts w:hint="eastAsia" w:ascii="黑体" w:hAnsi="黑体" w:eastAsia="黑体"/>
        </w:rPr>
        <w:t>饲料投喂</w:t>
      </w:r>
    </w:p>
    <w:p>
      <w:pPr>
        <w:pStyle w:val="224"/>
      </w:pPr>
      <w:r>
        <w:rPr>
          <w:rFonts w:hint="eastAsia" w:ascii="黑体" w:hAnsi="黑体" w:eastAsia="黑体"/>
        </w:rPr>
        <w:t>饲料质量</w:t>
      </w:r>
      <w:r>
        <w:rPr>
          <w:rFonts w:ascii="黑体" w:hAnsi="黑体" w:eastAsia="黑体"/>
        </w:rPr>
        <w:br w:type="textWrapping"/>
      </w:r>
      <w:r>
        <w:rPr>
          <w:rFonts w:hint="eastAsia"/>
        </w:rPr>
        <w:t xml:space="preserve"> </w:t>
      </w:r>
      <w:r>
        <w:t xml:space="preserve">   </w:t>
      </w:r>
      <w:r>
        <w:rPr>
          <w:rFonts w:hint="eastAsia"/>
        </w:rPr>
        <w:t>配合饲料应符合SC/T 1078的规定。其它动、植物性饵料应符合相关质量卫生安全要求。</w:t>
      </w:r>
    </w:p>
    <w:p>
      <w:pPr>
        <w:pStyle w:val="224"/>
        <w:rPr>
          <w:rFonts w:ascii="黑体" w:hAnsi="黑体" w:eastAsia="黑体"/>
        </w:rPr>
      </w:pPr>
      <w:r>
        <w:rPr>
          <w:rFonts w:hint="eastAsia" w:ascii="黑体" w:hAnsi="黑体" w:eastAsia="黑体"/>
        </w:rPr>
        <w:t>投喂管理</w:t>
      </w:r>
      <w:r>
        <w:rPr>
          <w:rFonts w:ascii="黑体" w:hAnsi="黑体" w:eastAsia="黑体"/>
        </w:rPr>
        <w:br w:type="textWrapping"/>
      </w:r>
      <w:r>
        <w:rPr>
          <w:rFonts w:hint="eastAsia"/>
        </w:rPr>
        <w:t xml:space="preserve"> </w:t>
      </w:r>
      <w:r>
        <w:t xml:space="preserve">   </w:t>
      </w:r>
      <w:r>
        <w:rPr>
          <w:rFonts w:hint="eastAsia"/>
        </w:rPr>
        <w:t>水温10℃以上开始投喂，以配合颗粒饲料为主。饲料中定期添加多糖、多维、生物菌等提高河蟹免疫力。</w:t>
      </w:r>
    </w:p>
    <w:p>
      <w:pPr>
        <w:pStyle w:val="162"/>
        <w:numPr>
          <w:ilvl w:val="0"/>
          <w:numId w:val="0"/>
        </w:numPr>
        <w:ind w:firstLine="420" w:firstLineChars="200"/>
      </w:pPr>
      <w:r>
        <w:rPr>
          <w:rFonts w:hint="eastAsia"/>
        </w:rPr>
        <w:t>第一次蜕壳前后（3月～4月）可每天投喂1次，投喂时间为傍晚；第二次蜕壳（4月下旬～5月初）以后，可每天投喂2次，上午投喂日投饵量的20%～30%，傍晚投喂日投饵量的70%～80%。遵循“四定、四看”投喂原则，饲料每次投喂量以投喂后3 h～4 h吃完为宜，具体根据吃食情况灵活掌握。不同养殖阶段饲料投喂见附录B。</w:t>
      </w:r>
    </w:p>
    <w:p>
      <w:pPr>
        <w:pStyle w:val="224"/>
      </w:pPr>
      <w:r>
        <w:rPr>
          <w:rFonts w:hint="eastAsia" w:ascii="黑体" w:hAnsi="黑体" w:eastAsia="黑体"/>
        </w:rPr>
        <w:t>螺蛳投放</w:t>
      </w:r>
      <w:r>
        <w:rPr>
          <w:rFonts w:ascii="黑体" w:hAnsi="黑体" w:eastAsia="黑体"/>
        </w:rPr>
        <w:br w:type="textWrapping"/>
      </w:r>
      <w:r>
        <w:rPr>
          <w:rFonts w:hint="eastAsia"/>
        </w:rPr>
        <w:t xml:space="preserve"> </w:t>
      </w:r>
      <w:r>
        <w:t xml:space="preserve">   </w:t>
      </w:r>
      <w:r>
        <w:rPr>
          <w:rFonts w:hint="eastAsia"/>
        </w:rPr>
        <w:t>有条件的也可在蟹池内投放活螺蛳，亩均总投放量400 kg /亩～500kg /亩，可分阶段多次投放（3～4次），每次投放量为100 kg/亩～150 kg/亩。</w:t>
      </w:r>
    </w:p>
    <w:p>
      <w:pPr>
        <w:pStyle w:val="223"/>
        <w:ind w:left="420" w:hanging="420" w:hangingChars="200"/>
        <w:rPr>
          <w:rFonts w:ascii="黑体" w:hAnsi="黑体" w:eastAsia="黑体"/>
        </w:rPr>
      </w:pPr>
      <w:r>
        <w:rPr>
          <w:rFonts w:hint="eastAsia" w:ascii="黑体" w:hAnsi="黑体" w:eastAsia="黑体"/>
        </w:rPr>
        <w:t>日常管理</w:t>
      </w:r>
    </w:p>
    <w:p>
      <w:pPr>
        <w:pStyle w:val="224"/>
      </w:pPr>
      <w:r>
        <w:rPr>
          <w:rFonts w:hint="eastAsia" w:ascii="黑体" w:hAnsi="黑体" w:eastAsia="黑体"/>
        </w:rPr>
        <w:t>巡塘</w:t>
      </w:r>
      <w:r>
        <w:rPr>
          <w:rFonts w:ascii="黑体" w:hAnsi="黑体" w:eastAsia="黑体"/>
        </w:rPr>
        <w:br w:type="textWrapping"/>
      </w:r>
      <w:r>
        <w:rPr>
          <w:rFonts w:hint="eastAsia"/>
        </w:rPr>
        <w:t xml:space="preserve"> </w:t>
      </w:r>
      <w:r>
        <w:t xml:space="preserve">   </w:t>
      </w:r>
      <w:r>
        <w:rPr>
          <w:rFonts w:hint="eastAsia"/>
        </w:rPr>
        <w:t>早晚巡塘，观察河蟹摄食、活动、蜕壳、水质变化以及养殖设施设备等情况。</w:t>
      </w:r>
    </w:p>
    <w:p>
      <w:pPr>
        <w:pStyle w:val="224"/>
      </w:pPr>
      <w:r>
        <w:rPr>
          <w:rFonts w:hint="eastAsia" w:ascii="黑体" w:hAnsi="黑体" w:eastAsia="黑体"/>
        </w:rPr>
        <w:t>水位调节</w:t>
      </w:r>
      <w:r>
        <w:rPr>
          <w:rFonts w:ascii="黑体" w:hAnsi="黑体" w:eastAsia="黑体"/>
        </w:rPr>
        <w:br w:type="textWrapping"/>
      </w:r>
      <w:r>
        <w:t xml:space="preserve">    </w:t>
      </w:r>
      <w:r>
        <w:rPr>
          <w:rFonts w:hint="eastAsia"/>
        </w:rPr>
        <w:t>5月上旬前滩面水位0.4 m左右；5月中下旬～7月上旬滩面水位0.6 m左右；雨季连续阴雨天，滩面水位控制在0.4 m～0.5 m；高温季节保持滩面水位0.8 m以上。结合天气、水位、水质情况，及时补注新水，保持合理水位。高温期补注低温水，降低池水温度，使底层水温不超过30℃为宜。水质应符合NY 5051的规定。</w:t>
      </w:r>
    </w:p>
    <w:p>
      <w:pPr>
        <w:pStyle w:val="224"/>
      </w:pPr>
      <w:r>
        <w:rPr>
          <w:rFonts w:hint="eastAsia" w:ascii="黑体" w:hAnsi="黑体" w:eastAsia="黑体"/>
        </w:rPr>
        <w:t>水质调控</w:t>
      </w:r>
      <w:r>
        <w:rPr>
          <w:rFonts w:ascii="黑体" w:hAnsi="黑体" w:eastAsia="黑体"/>
        </w:rPr>
        <w:br w:type="textWrapping"/>
      </w:r>
      <w:r>
        <w:rPr>
          <w:rFonts w:hint="eastAsia"/>
        </w:rPr>
        <w:t xml:space="preserve"> </w:t>
      </w:r>
      <w:r>
        <w:t xml:space="preserve">   </w:t>
      </w:r>
      <w:r>
        <w:rPr>
          <w:rFonts w:hint="eastAsia"/>
        </w:rPr>
        <w:t>一般从5月～6月份起至河蟹起捕，每日晚上10：00至次日上午7：00～8：00开启增氧机，大雾或闷热等特殊天气全天开机，同时根据天气变化情况及水质情况及时开启增氧机，保持池塘底层水体溶氧不低于5 mg/L。高温期晴天白天中午及午后不开机。pH以7.5～8.5为宜。定期使用生物制剂或改良剂调节水质和改善底质。</w:t>
      </w:r>
    </w:p>
    <w:p>
      <w:pPr>
        <w:pStyle w:val="223"/>
      </w:pPr>
      <w:r>
        <w:rPr>
          <w:rFonts w:hint="eastAsia" w:ascii="黑体" w:hAnsi="黑体" w:eastAsia="黑体"/>
        </w:rPr>
        <w:t>病虫害防控</w:t>
      </w:r>
      <w:r>
        <w:rPr>
          <w:rFonts w:ascii="黑体" w:hAnsi="黑体" w:eastAsia="黑体"/>
        </w:rPr>
        <w:br w:type="textWrapping"/>
      </w:r>
      <w:r>
        <w:rPr>
          <w:rFonts w:hint="eastAsia"/>
        </w:rPr>
        <w:t xml:space="preserve"> </w:t>
      </w:r>
      <w:r>
        <w:t xml:space="preserve">   </w:t>
      </w:r>
      <w:r>
        <w:rPr>
          <w:rFonts w:hint="eastAsia"/>
        </w:rPr>
        <w:t>遵循“预防为主、防治结合”的原则，以生态防控为主、化学药物防控为辅，病害防治药物的使用符合NY 5071的规定。</w:t>
      </w:r>
    </w:p>
    <w:p>
      <w:pPr>
        <w:pStyle w:val="56"/>
        <w:ind w:firstLine="420"/>
      </w:pPr>
      <w:r>
        <w:rPr>
          <w:rFonts w:hint="eastAsia"/>
        </w:rPr>
        <w:t>蟹种放养后3 d～5 d，以及每次注入新水或大雨过后，可全池泼洒复合碘或生石灰等消毒剂对水体进行1次消毒，复合碘每次用量为2.25</w:t>
      </w:r>
      <w:r>
        <w:rPr>
          <w:rFonts w:hint="eastAsia"/>
          <w:lang w:val="en-US" w:eastAsia="zh-CN"/>
        </w:rPr>
        <w:t xml:space="preserve"> </w:t>
      </w:r>
      <w:r>
        <w:rPr>
          <w:rFonts w:hint="eastAsia"/>
        </w:rPr>
        <w:t>mg/m</w:t>
      </w:r>
      <w:r>
        <w:rPr>
          <w:rFonts w:hint="eastAsia"/>
          <w:vertAlign w:val="superscript"/>
        </w:rPr>
        <w:t>3</w:t>
      </w:r>
      <w:r>
        <w:rPr>
          <w:rFonts w:hint="eastAsia"/>
        </w:rPr>
        <w:t>～3.75 mg/m</w:t>
      </w:r>
      <w:r>
        <w:rPr>
          <w:rFonts w:hint="eastAsia"/>
          <w:vertAlign w:val="superscript"/>
        </w:rPr>
        <w:t>3</w:t>
      </w:r>
      <w:r>
        <w:rPr>
          <w:rFonts w:hint="eastAsia"/>
        </w:rPr>
        <w:t>（以有效碘计），生石灰每次用量为20</w:t>
      </w:r>
      <w:r>
        <w:rPr>
          <w:rFonts w:hint="eastAsia"/>
          <w:lang w:val="en-US" w:eastAsia="zh-CN"/>
        </w:rPr>
        <w:t xml:space="preserve"> </w:t>
      </w:r>
      <w:r>
        <w:rPr>
          <w:rFonts w:hint="eastAsia"/>
        </w:rPr>
        <w:t>mg/m</w:t>
      </w:r>
      <w:r>
        <w:rPr>
          <w:rFonts w:hint="eastAsia"/>
          <w:vertAlign w:val="superscript"/>
        </w:rPr>
        <w:t>3</w:t>
      </w:r>
      <w:r>
        <w:rPr>
          <w:rFonts w:hint="eastAsia"/>
        </w:rPr>
        <w:t>；每7 d～15 d用光合细菌或乳酸菌等生物制剂调节水质、改良底质。</w:t>
      </w:r>
    </w:p>
    <w:p>
      <w:pPr>
        <w:pStyle w:val="56"/>
        <w:ind w:firstLine="420"/>
      </w:pPr>
      <w:r>
        <w:rPr>
          <w:rFonts w:hint="eastAsia"/>
        </w:rPr>
        <w:t>3月～4月，可每亩放养中华青鳉（俗称大眼鱆）成鱼0.5 kg（约2500尾），摄食池水中枝角类、桡足类和摇蚊幼虫（俗称吃草虫）。或在水车式增氧机前面架设用80目筛绢制作的张网，夜晚开启水车式增氧机用灯光诱捕枝角类、桡足类。</w:t>
      </w:r>
    </w:p>
    <w:p>
      <w:pPr>
        <w:pStyle w:val="56"/>
        <w:ind w:firstLine="420"/>
      </w:pPr>
      <w:r>
        <w:rPr>
          <w:rFonts w:hint="eastAsia"/>
        </w:rPr>
        <w:t>4月中旬前后，也可每亩放养规格为40尾/公斤～50尾/公斤的鳙鱼一龄鱼种3尾～5尾，控制水中浮游动物。</w:t>
      </w:r>
    </w:p>
    <w:p>
      <w:pPr>
        <w:pStyle w:val="223"/>
        <w:ind w:left="420" w:hanging="420" w:hangingChars="200"/>
        <w:rPr>
          <w:rFonts w:ascii="黑体" w:hAnsi="黑体" w:eastAsia="黑体"/>
        </w:rPr>
      </w:pPr>
      <w:r>
        <w:rPr>
          <w:rFonts w:hint="eastAsia" w:ascii="黑体" w:hAnsi="黑体" w:eastAsia="黑体"/>
        </w:rPr>
        <w:t>捕捞与暂养</w:t>
      </w:r>
    </w:p>
    <w:p>
      <w:pPr>
        <w:pStyle w:val="224"/>
        <w:rPr>
          <w:rFonts w:ascii="黑体" w:hAnsi="黑体" w:eastAsia="黑体"/>
        </w:rPr>
      </w:pPr>
      <w:r>
        <w:rPr>
          <w:rFonts w:hint="eastAsia" w:ascii="黑体" w:hAnsi="黑体" w:eastAsia="黑体"/>
        </w:rPr>
        <w:t>捕捞时间及方法</w:t>
      </w:r>
      <w:r>
        <w:rPr>
          <w:rFonts w:ascii="黑体" w:hAnsi="黑体" w:eastAsia="黑体"/>
        </w:rPr>
        <w:br w:type="textWrapping"/>
      </w:r>
      <w:r>
        <w:t xml:space="preserve">    </w:t>
      </w:r>
      <w:r>
        <w:rPr>
          <w:rFonts w:hint="eastAsia"/>
        </w:rPr>
        <w:t>9月下旬以后，根据河蟹成熟程度和销售计划捕捞，捕捞方法以地笼捕捞为主，或利用河蟹上岸时人工抓捕。上市河蟹质量应符合NY 5070、NY 507</w:t>
      </w:r>
      <w:bookmarkStart w:id="48" w:name="_GoBack"/>
      <w:bookmarkEnd w:id="48"/>
      <w:r>
        <w:rPr>
          <w:rFonts w:hint="eastAsia"/>
        </w:rPr>
        <w:t>3的要求。</w:t>
      </w:r>
    </w:p>
    <w:p>
      <w:pPr>
        <w:pStyle w:val="224"/>
      </w:pPr>
      <w:r>
        <w:rPr>
          <w:rFonts w:hint="eastAsia" w:ascii="黑体" w:hAnsi="黑体" w:eastAsia="黑体"/>
        </w:rPr>
        <w:t>暂养</w:t>
      </w:r>
      <w:r>
        <w:rPr>
          <w:rFonts w:ascii="黑体" w:hAnsi="黑体" w:eastAsia="黑体"/>
        </w:rPr>
        <w:br w:type="textWrapping"/>
      </w:r>
      <w:r>
        <w:rPr>
          <w:rFonts w:hint="eastAsia"/>
        </w:rPr>
        <w:t xml:space="preserve"> </w:t>
      </w:r>
      <w:r>
        <w:t xml:space="preserve">   </w:t>
      </w:r>
      <w:r>
        <w:rPr>
          <w:rFonts w:hint="eastAsia"/>
        </w:rPr>
        <w:t>商品蟹如需延期至春节前后销售，可采取室外土池网箱暂养，宜选择规格小于200g/只的商品蟹进行暂养，暂养水温低于10℃为宜，暂养时长不超过45 d为宜，可参照DB 3213/T 1018执行。</w:t>
      </w:r>
    </w:p>
    <w:p>
      <w:pPr>
        <w:pStyle w:val="104"/>
        <w:spacing w:before="312" w:after="312"/>
      </w:pPr>
      <w:r>
        <w:rPr>
          <w:rFonts w:hint="eastAsia"/>
        </w:rPr>
        <w:t>标志、包装</w:t>
      </w:r>
    </w:p>
    <w:p>
      <w:pPr>
        <w:pStyle w:val="223"/>
      </w:pPr>
      <w:r>
        <w:rPr>
          <w:rFonts w:hint="eastAsia" w:ascii="黑体" w:hAnsi="黑体" w:eastAsia="黑体"/>
        </w:rPr>
        <w:t>标志</w:t>
      </w:r>
      <w:r>
        <w:rPr>
          <w:rFonts w:ascii="黑体" w:hAnsi="黑体" w:eastAsia="黑体"/>
        </w:rPr>
        <w:br w:type="textWrapping"/>
      </w:r>
      <w:r>
        <w:rPr>
          <w:rFonts w:hint="eastAsia"/>
        </w:rPr>
        <w:t xml:space="preserve"> </w:t>
      </w:r>
      <w:r>
        <w:t xml:space="preserve">   </w:t>
      </w:r>
      <w:r>
        <w:rPr>
          <w:rFonts w:hint="eastAsia"/>
        </w:rPr>
        <w:t>经公告已作为“泗洪大闸蟹”集体商标注册的注册人的集体成员，履行相关手续后，产品可标注“中国地理标志产品专用标志”和“泗洪大闸蟹”地理标志集体商标，标注方法应符合《地理标志专用标志使用管理办法》。</w:t>
      </w:r>
    </w:p>
    <w:p>
      <w:pPr>
        <w:pStyle w:val="223"/>
      </w:pPr>
      <w:r>
        <w:rPr>
          <w:rFonts w:hint="eastAsia" w:ascii="黑体" w:hAnsi="黑体" w:eastAsia="黑体"/>
        </w:rPr>
        <w:t>包装</w:t>
      </w:r>
      <w:r>
        <w:rPr>
          <w:rFonts w:ascii="黑体" w:hAnsi="黑体" w:eastAsia="黑体"/>
        </w:rPr>
        <w:br w:type="textWrapping"/>
      </w:r>
      <w:r>
        <w:rPr>
          <w:rFonts w:hint="eastAsia"/>
        </w:rPr>
        <w:t xml:space="preserve"> </w:t>
      </w:r>
      <w:r>
        <w:t xml:space="preserve">   </w:t>
      </w:r>
      <w:r>
        <w:rPr>
          <w:rFonts w:hint="eastAsia"/>
        </w:rPr>
        <w:t>采用三层包装，外层为纸盒，中间层为泡沫盒，内层为保温袋，所有包装材料应符合NY/T 658的规定。</w:t>
      </w:r>
    </w:p>
    <w:p>
      <w:pPr>
        <w:pStyle w:val="104"/>
        <w:spacing w:before="312" w:after="312"/>
      </w:pPr>
      <w:r>
        <w:rPr>
          <w:rFonts w:hint="eastAsia"/>
        </w:rPr>
        <w:t>养殖记录</w:t>
      </w:r>
    </w:p>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r>
        <w:rPr>
          <w:rFonts w:hint="eastAsia"/>
        </w:rPr>
        <w:t>养殖记录应规范记载，符合GB/T 42478的要求。</w:t>
      </w:r>
    </w:p>
    <w:bookmarkEnd w:id="22"/>
    <w:p>
      <w:pPr>
        <w:pStyle w:val="198"/>
        <w:rPr>
          <w:vanish w:val="0"/>
        </w:rPr>
      </w:pPr>
      <w:bookmarkStart w:id="45" w:name="BookMark5"/>
    </w:p>
    <w:p>
      <w:pPr>
        <w:pStyle w:val="199"/>
        <w:rPr>
          <w:vanish w:val="0"/>
        </w:rPr>
      </w:pPr>
    </w:p>
    <w:p>
      <w:pPr>
        <w:pStyle w:val="76"/>
        <w:spacing w:after="156"/>
      </w:pPr>
      <w:r>
        <w:br w:type="textWrapping"/>
      </w:r>
      <w:r>
        <w:rPr>
          <w:rFonts w:hint="eastAsia"/>
        </w:rPr>
        <w:t>（资料性）</w:t>
      </w:r>
      <w:r>
        <w:br w:type="textWrapping"/>
      </w:r>
      <w:bookmarkStart w:id="46" w:name="_Hlk146095405"/>
      <w:r>
        <w:rPr>
          <w:rFonts w:hint="eastAsia"/>
        </w:rPr>
        <w:t>“泗洪大闸蟹”放养密度参考表</w:t>
      </w:r>
      <w:bookmarkEnd w:id="46"/>
    </w:p>
    <w:p>
      <w:pPr>
        <w:pStyle w:val="77"/>
        <w:spacing w:before="156" w:after="156"/>
      </w:pPr>
      <w:r>
        <w:rPr>
          <w:rFonts w:hint="eastAsia"/>
        </w:rPr>
        <w:t>“泗洪大闸蟹”放养密度参考表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33"/>
        <w:gridCol w:w="2334"/>
        <w:gridCol w:w="2334"/>
        <w:gridCol w:w="23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3" w:type="dxa"/>
            <w:tcBorders>
              <w:top w:val="single" w:color="auto" w:sz="8" w:space="0"/>
              <w:bottom w:val="single" w:color="auto" w:sz="8" w:space="0"/>
            </w:tcBorders>
            <w:shd w:val="clear" w:color="auto" w:fill="auto"/>
            <w:vAlign w:val="center"/>
          </w:tcPr>
          <w:p>
            <w:pPr>
              <w:pStyle w:val="178"/>
            </w:pPr>
            <w:r>
              <w:rPr>
                <w:rFonts w:hint="eastAsia"/>
              </w:rPr>
              <w:t>放养密度（只/亩）</w:t>
            </w:r>
          </w:p>
        </w:tc>
        <w:tc>
          <w:tcPr>
            <w:tcW w:w="2334" w:type="dxa"/>
            <w:tcBorders>
              <w:top w:val="single" w:color="auto" w:sz="8" w:space="0"/>
              <w:bottom w:val="single" w:color="auto" w:sz="8" w:space="0"/>
            </w:tcBorders>
            <w:shd w:val="clear" w:color="auto" w:fill="auto"/>
            <w:vAlign w:val="center"/>
          </w:tcPr>
          <w:p>
            <w:pPr>
              <w:pStyle w:val="178"/>
            </w:pPr>
            <w:r>
              <w:rPr>
                <w:rFonts w:hint="eastAsia"/>
              </w:rPr>
              <w:t>蟹种规格（只/kg）</w:t>
            </w:r>
          </w:p>
        </w:tc>
        <w:tc>
          <w:tcPr>
            <w:tcW w:w="2334" w:type="dxa"/>
            <w:tcBorders>
              <w:top w:val="single" w:color="auto" w:sz="8" w:space="0"/>
              <w:bottom w:val="single" w:color="auto" w:sz="8" w:space="0"/>
            </w:tcBorders>
            <w:shd w:val="clear" w:color="auto" w:fill="auto"/>
            <w:vAlign w:val="center"/>
          </w:tcPr>
          <w:p>
            <w:pPr>
              <w:pStyle w:val="178"/>
            </w:pPr>
            <w:r>
              <w:rPr>
                <w:rFonts w:hint="eastAsia"/>
              </w:rPr>
              <w:t>计划亩产量（kg）</w:t>
            </w:r>
          </w:p>
        </w:tc>
        <w:tc>
          <w:tcPr>
            <w:tcW w:w="2333" w:type="dxa"/>
            <w:tcBorders>
              <w:top w:val="single" w:color="auto" w:sz="8" w:space="0"/>
              <w:bottom w:val="single" w:color="auto" w:sz="8" w:space="0"/>
            </w:tcBorders>
            <w:shd w:val="clear" w:color="auto" w:fill="auto"/>
            <w:vAlign w:val="center"/>
          </w:tcPr>
          <w:p>
            <w:pPr>
              <w:pStyle w:val="178"/>
            </w:pPr>
            <w:r>
              <w:rPr>
                <w:rFonts w:hint="eastAsia"/>
              </w:rPr>
              <w:t>预期成蟹平均规格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000000" w:sz="12" w:space="0"/>
              <w:left w:val="single" w:color="000000" w:sz="12" w:space="0"/>
              <w:bottom w:val="single" w:color="000000" w:sz="8" w:space="0"/>
              <w:right w:val="single" w:color="000000" w:sz="8" w:space="0"/>
            </w:tcBorders>
            <w:vAlign w:val="center"/>
          </w:tcPr>
          <w:p>
            <w:pPr>
              <w:pStyle w:val="178"/>
            </w:pPr>
            <w:r>
              <w:rPr>
                <w:rFonts w:hint="eastAsia" w:hAnsi="宋体"/>
                <w:color w:val="000000"/>
                <w:szCs w:val="18"/>
              </w:rPr>
              <w:t>800～900（含）</w:t>
            </w:r>
          </w:p>
        </w:tc>
        <w:tc>
          <w:tcPr>
            <w:tcW w:w="2334" w:type="dxa"/>
            <w:tcBorders>
              <w:top w:val="single" w:color="000000" w:sz="12" w:space="0"/>
              <w:left w:val="nil"/>
              <w:bottom w:val="single" w:color="000000" w:sz="8" w:space="0"/>
              <w:right w:val="single" w:color="000000" w:sz="8" w:space="0"/>
            </w:tcBorders>
            <w:vAlign w:val="center"/>
          </w:tcPr>
          <w:p>
            <w:pPr>
              <w:pStyle w:val="178"/>
            </w:pPr>
            <w:r>
              <w:rPr>
                <w:rFonts w:hint="eastAsia" w:hAnsi="宋体"/>
                <w:color w:val="000000"/>
                <w:szCs w:val="18"/>
              </w:rPr>
              <w:t>80～100</w:t>
            </w:r>
          </w:p>
        </w:tc>
        <w:tc>
          <w:tcPr>
            <w:tcW w:w="2334" w:type="dxa"/>
            <w:tcBorders>
              <w:top w:val="single" w:color="000000" w:sz="12" w:space="0"/>
              <w:left w:val="nil"/>
              <w:bottom w:val="single" w:color="000000" w:sz="8" w:space="0"/>
              <w:right w:val="single" w:color="000000" w:sz="8" w:space="0"/>
            </w:tcBorders>
            <w:vAlign w:val="center"/>
          </w:tcPr>
          <w:p>
            <w:pPr>
              <w:pStyle w:val="178"/>
            </w:pPr>
            <w:r>
              <w:rPr>
                <w:rFonts w:hint="eastAsia" w:hAnsi="宋体"/>
                <w:color w:val="000000"/>
                <w:szCs w:val="18"/>
              </w:rPr>
              <w:t>100～150</w:t>
            </w:r>
          </w:p>
        </w:tc>
        <w:tc>
          <w:tcPr>
            <w:tcW w:w="2333" w:type="dxa"/>
            <w:tcBorders>
              <w:top w:val="single" w:color="000000" w:sz="12" w:space="0"/>
              <w:left w:val="nil"/>
              <w:bottom w:val="single" w:color="000000" w:sz="8" w:space="0"/>
              <w:right w:val="single" w:color="000000" w:sz="12" w:space="0"/>
            </w:tcBorders>
            <w:vAlign w:val="center"/>
          </w:tcPr>
          <w:p>
            <w:pPr>
              <w:pStyle w:val="178"/>
            </w:pPr>
            <w:r>
              <w:rPr>
                <w:rFonts w:hint="eastAsia" w:hAnsi="宋体"/>
                <w:color w:val="000000"/>
                <w:szCs w:val="18"/>
              </w:rPr>
              <w:t>公蟹250</w:t>
            </w:r>
            <w:r>
              <w:rPr>
                <w:rFonts w:hint="eastAsia" w:hAnsi="宋体"/>
                <w:color w:val="FF0000"/>
                <w:szCs w:val="18"/>
              </w:rPr>
              <w:t xml:space="preserve"> </w:t>
            </w:r>
            <w:r>
              <w:rPr>
                <w:rFonts w:hint="eastAsia" w:hAnsi="宋体"/>
                <w:color w:val="000000"/>
                <w:szCs w:val="18"/>
              </w:rPr>
              <w:t>g、母蟹200</w:t>
            </w:r>
            <w:r>
              <w:rPr>
                <w:rFonts w:hint="eastAsia" w:hAnsi="宋体"/>
                <w:color w:val="FF0000"/>
                <w:szCs w:val="18"/>
              </w:rPr>
              <w:t xml:space="preserve"> </w:t>
            </w:r>
            <w:r>
              <w:rPr>
                <w:rFonts w:hint="eastAsia" w:hAnsi="宋体"/>
                <w:color w:val="000000"/>
                <w:szCs w:val="18"/>
              </w:rPr>
              <w:t>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000000" w:sz="8" w:space="0"/>
              <w:left w:val="single" w:color="000000" w:sz="12" w:space="0"/>
              <w:bottom w:val="single" w:color="000000" w:sz="8" w:space="0"/>
              <w:right w:val="single" w:color="000000" w:sz="8" w:space="0"/>
            </w:tcBorders>
            <w:vAlign w:val="center"/>
          </w:tcPr>
          <w:p>
            <w:pPr>
              <w:pStyle w:val="178"/>
            </w:pPr>
            <w:r>
              <w:rPr>
                <w:rFonts w:hint="eastAsia" w:hAnsi="宋体"/>
                <w:color w:val="000000"/>
                <w:szCs w:val="18"/>
              </w:rPr>
              <w:t>900～1400（含）</w:t>
            </w:r>
          </w:p>
        </w:tc>
        <w:tc>
          <w:tcPr>
            <w:tcW w:w="2334" w:type="dxa"/>
            <w:tcBorders>
              <w:top w:val="single" w:color="000000" w:sz="8" w:space="0"/>
              <w:left w:val="nil"/>
              <w:bottom w:val="single" w:color="000000" w:sz="8" w:space="0"/>
              <w:right w:val="single" w:color="000000" w:sz="8" w:space="0"/>
            </w:tcBorders>
            <w:vAlign w:val="center"/>
          </w:tcPr>
          <w:p>
            <w:pPr>
              <w:pStyle w:val="178"/>
            </w:pPr>
            <w:r>
              <w:rPr>
                <w:rFonts w:hint="eastAsia" w:hAnsi="宋体"/>
                <w:color w:val="000000"/>
                <w:szCs w:val="18"/>
              </w:rPr>
              <w:t>100～120</w:t>
            </w:r>
          </w:p>
        </w:tc>
        <w:tc>
          <w:tcPr>
            <w:tcW w:w="2334" w:type="dxa"/>
            <w:tcBorders>
              <w:top w:val="single" w:color="000000" w:sz="8" w:space="0"/>
              <w:left w:val="nil"/>
              <w:bottom w:val="single" w:color="000000" w:sz="8" w:space="0"/>
              <w:right w:val="single" w:color="000000" w:sz="8" w:space="0"/>
            </w:tcBorders>
            <w:vAlign w:val="center"/>
          </w:tcPr>
          <w:p>
            <w:pPr>
              <w:pStyle w:val="178"/>
            </w:pPr>
            <w:r>
              <w:rPr>
                <w:rFonts w:hint="eastAsia" w:hAnsi="宋体"/>
                <w:color w:val="000000"/>
                <w:szCs w:val="18"/>
              </w:rPr>
              <w:t>≥150</w:t>
            </w:r>
          </w:p>
        </w:tc>
        <w:tc>
          <w:tcPr>
            <w:tcW w:w="2333" w:type="dxa"/>
            <w:tcBorders>
              <w:top w:val="single" w:color="000000" w:sz="8" w:space="0"/>
              <w:left w:val="nil"/>
              <w:bottom w:val="single" w:color="000000" w:sz="8" w:space="0"/>
              <w:right w:val="single" w:color="000000" w:sz="12" w:space="0"/>
            </w:tcBorders>
            <w:vAlign w:val="center"/>
          </w:tcPr>
          <w:p>
            <w:pPr>
              <w:pStyle w:val="178"/>
            </w:pPr>
            <w:r>
              <w:rPr>
                <w:rFonts w:hint="eastAsia" w:hAnsi="宋体"/>
                <w:color w:val="000000"/>
                <w:szCs w:val="18"/>
              </w:rPr>
              <w:t>公蟹225</w:t>
            </w:r>
            <w:r>
              <w:rPr>
                <w:rFonts w:hint="eastAsia" w:hAnsi="宋体"/>
                <w:color w:val="FF0000"/>
                <w:szCs w:val="18"/>
              </w:rPr>
              <w:t xml:space="preserve"> </w:t>
            </w:r>
            <w:r>
              <w:rPr>
                <w:rFonts w:hint="eastAsia" w:hAnsi="宋体"/>
                <w:color w:val="000000"/>
                <w:szCs w:val="18"/>
              </w:rPr>
              <w:t>g、母蟹175</w:t>
            </w:r>
            <w:r>
              <w:rPr>
                <w:rFonts w:hint="eastAsia" w:hAnsi="宋体"/>
                <w:color w:val="FF0000"/>
                <w:szCs w:val="18"/>
              </w:rPr>
              <w:t xml:space="preserve"> </w:t>
            </w:r>
            <w:r>
              <w:rPr>
                <w:rFonts w:hint="eastAsia" w:hAnsi="宋体"/>
                <w:color w:val="000000"/>
                <w:szCs w:val="18"/>
              </w:rPr>
              <w:t>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000000" w:sz="8" w:space="0"/>
              <w:left w:val="single" w:color="000000" w:sz="12" w:space="0"/>
              <w:bottom w:val="single" w:color="000000" w:sz="8" w:space="0"/>
              <w:right w:val="single" w:color="000000" w:sz="8" w:space="0"/>
            </w:tcBorders>
            <w:vAlign w:val="center"/>
          </w:tcPr>
          <w:p>
            <w:pPr>
              <w:pStyle w:val="178"/>
            </w:pPr>
            <w:r>
              <w:rPr>
                <w:rFonts w:hint="eastAsia" w:hAnsi="宋体"/>
                <w:color w:val="000000"/>
                <w:szCs w:val="18"/>
              </w:rPr>
              <w:t>1400～2000（含）</w:t>
            </w:r>
          </w:p>
        </w:tc>
        <w:tc>
          <w:tcPr>
            <w:tcW w:w="2334" w:type="dxa"/>
            <w:tcBorders>
              <w:top w:val="single" w:color="000000" w:sz="8" w:space="0"/>
              <w:left w:val="nil"/>
              <w:bottom w:val="single" w:color="000000" w:sz="8" w:space="0"/>
              <w:right w:val="single" w:color="000000" w:sz="8" w:space="0"/>
            </w:tcBorders>
            <w:vAlign w:val="center"/>
          </w:tcPr>
          <w:p>
            <w:pPr>
              <w:pStyle w:val="178"/>
            </w:pPr>
            <w:r>
              <w:rPr>
                <w:rFonts w:hint="eastAsia" w:hAnsi="宋体"/>
                <w:color w:val="000000"/>
                <w:szCs w:val="18"/>
              </w:rPr>
              <w:t>120～160</w:t>
            </w:r>
          </w:p>
        </w:tc>
        <w:tc>
          <w:tcPr>
            <w:tcW w:w="2334" w:type="dxa"/>
            <w:tcBorders>
              <w:top w:val="single" w:color="000000" w:sz="8" w:space="0"/>
              <w:left w:val="nil"/>
              <w:bottom w:val="single" w:color="000000" w:sz="8" w:space="0"/>
              <w:right w:val="single" w:color="000000" w:sz="8" w:space="0"/>
            </w:tcBorders>
            <w:vAlign w:val="center"/>
          </w:tcPr>
          <w:p>
            <w:pPr>
              <w:pStyle w:val="178"/>
            </w:pPr>
            <w:r>
              <w:rPr>
                <w:rFonts w:hint="eastAsia" w:hAnsi="宋体"/>
                <w:color w:val="000000"/>
                <w:szCs w:val="18"/>
              </w:rPr>
              <w:t>≥150</w:t>
            </w:r>
          </w:p>
        </w:tc>
        <w:tc>
          <w:tcPr>
            <w:tcW w:w="2333" w:type="dxa"/>
            <w:tcBorders>
              <w:top w:val="single" w:color="000000" w:sz="8" w:space="0"/>
              <w:left w:val="nil"/>
              <w:bottom w:val="single" w:color="000000" w:sz="8" w:space="0"/>
              <w:right w:val="single" w:color="000000" w:sz="12" w:space="0"/>
            </w:tcBorders>
            <w:vAlign w:val="center"/>
          </w:tcPr>
          <w:p>
            <w:pPr>
              <w:pStyle w:val="178"/>
            </w:pPr>
            <w:r>
              <w:rPr>
                <w:rFonts w:hint="eastAsia" w:hAnsi="宋体"/>
                <w:color w:val="000000"/>
                <w:szCs w:val="18"/>
              </w:rPr>
              <w:t>公蟹200</w:t>
            </w:r>
            <w:r>
              <w:rPr>
                <w:rFonts w:hint="eastAsia" w:hAnsi="宋体"/>
                <w:color w:val="FF0000"/>
                <w:szCs w:val="18"/>
              </w:rPr>
              <w:t xml:space="preserve"> </w:t>
            </w:r>
            <w:r>
              <w:rPr>
                <w:rFonts w:hint="eastAsia" w:hAnsi="宋体"/>
                <w:color w:val="000000"/>
                <w:szCs w:val="18"/>
              </w:rPr>
              <w:t>g、母蟹150</w:t>
            </w:r>
            <w:r>
              <w:rPr>
                <w:rFonts w:hint="eastAsia" w:hAnsi="宋体"/>
                <w:color w:val="FF0000"/>
                <w:szCs w:val="18"/>
              </w:rPr>
              <w:t xml:space="preserve"> </w:t>
            </w:r>
            <w:r>
              <w:rPr>
                <w:rFonts w:hint="eastAsia" w:hAnsi="宋体"/>
                <w:color w:val="000000"/>
                <w:szCs w:val="18"/>
              </w:rPr>
              <w:t>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000000" w:sz="8" w:space="0"/>
              <w:left w:val="single" w:color="000000" w:sz="12" w:space="0"/>
              <w:bottom w:val="single" w:color="000000" w:sz="8" w:space="0"/>
              <w:right w:val="single" w:color="000000" w:sz="8" w:space="0"/>
            </w:tcBorders>
            <w:vAlign w:val="center"/>
          </w:tcPr>
          <w:p>
            <w:pPr>
              <w:pStyle w:val="178"/>
            </w:pPr>
            <w:r>
              <w:rPr>
                <w:rFonts w:hint="eastAsia" w:hAnsi="宋体"/>
                <w:color w:val="000000"/>
                <w:szCs w:val="18"/>
              </w:rPr>
              <w:t>2000～2500（含）</w:t>
            </w:r>
          </w:p>
        </w:tc>
        <w:tc>
          <w:tcPr>
            <w:tcW w:w="2334" w:type="dxa"/>
            <w:tcBorders>
              <w:top w:val="single" w:color="000000" w:sz="8" w:space="0"/>
              <w:left w:val="nil"/>
              <w:bottom w:val="single" w:color="000000" w:sz="8" w:space="0"/>
              <w:right w:val="single" w:color="000000" w:sz="8" w:space="0"/>
            </w:tcBorders>
            <w:vAlign w:val="center"/>
          </w:tcPr>
          <w:p>
            <w:pPr>
              <w:pStyle w:val="178"/>
            </w:pPr>
            <w:r>
              <w:rPr>
                <w:rFonts w:hint="eastAsia" w:hAnsi="宋体"/>
                <w:color w:val="000000"/>
                <w:szCs w:val="18"/>
              </w:rPr>
              <w:t>140～160</w:t>
            </w:r>
          </w:p>
        </w:tc>
        <w:tc>
          <w:tcPr>
            <w:tcW w:w="2334" w:type="dxa"/>
            <w:tcBorders>
              <w:top w:val="single" w:color="000000" w:sz="8" w:space="0"/>
              <w:left w:val="nil"/>
              <w:bottom w:val="single" w:color="000000" w:sz="8" w:space="0"/>
              <w:right w:val="single" w:color="000000" w:sz="8" w:space="0"/>
            </w:tcBorders>
            <w:vAlign w:val="center"/>
          </w:tcPr>
          <w:p>
            <w:pPr>
              <w:pStyle w:val="178"/>
            </w:pPr>
            <w:r>
              <w:rPr>
                <w:rFonts w:hint="eastAsia" w:hAnsi="宋体"/>
                <w:color w:val="000000"/>
                <w:szCs w:val="18"/>
              </w:rPr>
              <w:t>≥150</w:t>
            </w:r>
          </w:p>
        </w:tc>
        <w:tc>
          <w:tcPr>
            <w:tcW w:w="2333" w:type="dxa"/>
            <w:tcBorders>
              <w:top w:val="single" w:color="000000" w:sz="8" w:space="0"/>
              <w:left w:val="nil"/>
              <w:bottom w:val="single" w:color="000000" w:sz="8" w:space="0"/>
              <w:right w:val="single" w:color="000000" w:sz="12" w:space="0"/>
            </w:tcBorders>
            <w:vAlign w:val="center"/>
          </w:tcPr>
          <w:p>
            <w:pPr>
              <w:pStyle w:val="178"/>
            </w:pPr>
            <w:r>
              <w:rPr>
                <w:rFonts w:hint="eastAsia" w:hAnsi="宋体"/>
                <w:color w:val="000000"/>
                <w:szCs w:val="18"/>
              </w:rPr>
              <w:t>公蟹175</w:t>
            </w:r>
            <w:r>
              <w:rPr>
                <w:rFonts w:hint="eastAsia" w:hAnsi="宋体"/>
                <w:color w:val="FF0000"/>
                <w:szCs w:val="18"/>
              </w:rPr>
              <w:t xml:space="preserve"> </w:t>
            </w:r>
            <w:r>
              <w:rPr>
                <w:rFonts w:hint="eastAsia" w:hAnsi="宋体"/>
                <w:color w:val="000000"/>
                <w:szCs w:val="18"/>
              </w:rPr>
              <w:t>g、母蟹125</w:t>
            </w:r>
            <w:r>
              <w:rPr>
                <w:rFonts w:hint="eastAsia" w:hAnsi="宋体"/>
                <w:color w:val="FF0000"/>
                <w:szCs w:val="18"/>
              </w:rPr>
              <w:t xml:space="preserve"> </w:t>
            </w:r>
            <w:r>
              <w:rPr>
                <w:rFonts w:hint="eastAsia" w:hAnsi="宋体"/>
                <w:color w:val="000000"/>
                <w:szCs w:val="18"/>
              </w:rPr>
              <w:t>g</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3" w:type="dxa"/>
            <w:tcBorders>
              <w:top w:val="single" w:color="000000" w:sz="8" w:space="0"/>
              <w:left w:val="single" w:color="000000" w:sz="12" w:space="0"/>
              <w:bottom w:val="single" w:color="000000" w:sz="12" w:space="0"/>
              <w:right w:val="single" w:color="000000" w:sz="8" w:space="0"/>
            </w:tcBorders>
            <w:vAlign w:val="center"/>
          </w:tcPr>
          <w:p>
            <w:pPr>
              <w:pStyle w:val="178"/>
            </w:pPr>
            <w:r>
              <w:rPr>
                <w:rFonts w:hint="eastAsia" w:hAnsi="宋体"/>
                <w:color w:val="000000"/>
                <w:szCs w:val="18"/>
              </w:rPr>
              <w:t>2500～3500（含）</w:t>
            </w:r>
          </w:p>
        </w:tc>
        <w:tc>
          <w:tcPr>
            <w:tcW w:w="2334" w:type="dxa"/>
            <w:tcBorders>
              <w:top w:val="single" w:color="000000" w:sz="8" w:space="0"/>
              <w:left w:val="nil"/>
              <w:bottom w:val="single" w:color="000000" w:sz="12" w:space="0"/>
              <w:right w:val="single" w:color="000000" w:sz="8" w:space="0"/>
            </w:tcBorders>
            <w:vAlign w:val="center"/>
          </w:tcPr>
          <w:p>
            <w:pPr>
              <w:pStyle w:val="178"/>
            </w:pPr>
            <w:r>
              <w:rPr>
                <w:rFonts w:hint="eastAsia" w:hAnsi="宋体"/>
                <w:color w:val="000000"/>
                <w:szCs w:val="18"/>
              </w:rPr>
              <w:t>140～</w:t>
            </w:r>
            <w:r>
              <w:rPr>
                <w:rFonts w:hint="eastAsia" w:hAnsi="宋体"/>
                <w:szCs w:val="18"/>
              </w:rPr>
              <w:t>200</w:t>
            </w:r>
          </w:p>
        </w:tc>
        <w:tc>
          <w:tcPr>
            <w:tcW w:w="2334" w:type="dxa"/>
            <w:tcBorders>
              <w:top w:val="single" w:color="000000" w:sz="8" w:space="0"/>
              <w:left w:val="nil"/>
              <w:bottom w:val="single" w:color="000000" w:sz="12" w:space="0"/>
              <w:right w:val="single" w:color="000000" w:sz="8" w:space="0"/>
            </w:tcBorders>
            <w:vAlign w:val="center"/>
          </w:tcPr>
          <w:p>
            <w:pPr>
              <w:pStyle w:val="178"/>
            </w:pPr>
            <w:r>
              <w:rPr>
                <w:rFonts w:hint="eastAsia" w:hAnsi="宋体"/>
                <w:color w:val="000000"/>
                <w:szCs w:val="18"/>
              </w:rPr>
              <w:t>≥200</w:t>
            </w:r>
          </w:p>
        </w:tc>
        <w:tc>
          <w:tcPr>
            <w:tcW w:w="2333" w:type="dxa"/>
            <w:tcBorders>
              <w:top w:val="single" w:color="000000" w:sz="8" w:space="0"/>
              <w:left w:val="nil"/>
              <w:bottom w:val="single" w:color="000000" w:sz="12" w:space="0"/>
              <w:right w:val="single" w:color="000000" w:sz="12" w:space="0"/>
            </w:tcBorders>
            <w:vAlign w:val="center"/>
          </w:tcPr>
          <w:p>
            <w:pPr>
              <w:pStyle w:val="178"/>
            </w:pPr>
            <w:r>
              <w:rPr>
                <w:rFonts w:hint="eastAsia"/>
              </w:rPr>
              <w:t>公蟹</w:t>
            </w:r>
            <w:r>
              <w:t xml:space="preserve">150 </w:t>
            </w:r>
            <w:r>
              <w:rPr>
                <w:rFonts w:hint="eastAsia"/>
              </w:rPr>
              <w:t>g、母蟹</w:t>
            </w:r>
            <w:r>
              <w:t>100</w:t>
            </w:r>
            <w:r>
              <w:rPr>
                <w:rFonts w:hint="eastAsia"/>
              </w:rPr>
              <w:t xml:space="preserve"> g</w:t>
            </w:r>
          </w:p>
        </w:tc>
      </w:tr>
    </w:tbl>
    <w:p>
      <w:pPr>
        <w:pStyle w:val="56"/>
        <w:ind w:firstLine="0" w:firstLineChars="0"/>
      </w:pPr>
    </w:p>
    <w:p>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type="lines" w:linePitch="312" w:charSpace="0"/>
        </w:sectPr>
      </w:pPr>
    </w:p>
    <w:p>
      <w:pPr>
        <w:pStyle w:val="198"/>
        <w:rPr>
          <w:vanish w:val="0"/>
        </w:rPr>
      </w:pPr>
    </w:p>
    <w:p>
      <w:pPr>
        <w:pStyle w:val="199"/>
        <w:rPr>
          <w:vanish w:val="0"/>
        </w:rPr>
      </w:pPr>
    </w:p>
    <w:p>
      <w:pPr>
        <w:pStyle w:val="76"/>
        <w:spacing w:after="156"/>
      </w:pPr>
      <w:r>
        <w:br w:type="textWrapping"/>
      </w:r>
      <w:r>
        <w:rPr>
          <w:rFonts w:hint="eastAsia"/>
        </w:rPr>
        <w:t>（资料性）</w:t>
      </w:r>
      <w:r>
        <w:br w:type="textWrapping"/>
      </w:r>
      <w:r>
        <w:rPr>
          <w:rFonts w:hint="eastAsia"/>
        </w:rPr>
        <w:t>“泗洪大闸蟹”不同养殖阶段饲料投喂参考表</w:t>
      </w:r>
    </w:p>
    <w:p>
      <w:pPr>
        <w:pStyle w:val="77"/>
        <w:spacing w:before="156" w:after="156"/>
      </w:pPr>
      <w:r>
        <w:rPr>
          <w:rFonts w:hint="eastAsia"/>
        </w:rPr>
        <w:t>“泗洪大闸蟹”不同养殖阶段饲料投喂参考表</w:t>
      </w:r>
    </w:p>
    <w:tbl>
      <w:tblPr>
        <w:tblStyle w:val="27"/>
        <w:tblW w:w="93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53"/>
        <w:gridCol w:w="5387"/>
        <w:gridCol w:w="16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253" w:type="dxa"/>
            <w:tcBorders>
              <w:top w:val="single" w:color="000000" w:sz="12" w:space="0"/>
              <w:left w:val="single" w:color="000000" w:sz="12" w:space="0"/>
              <w:bottom w:val="single" w:color="000000" w:sz="12" w:space="0"/>
              <w:right w:val="single" w:color="000000" w:sz="8" w:space="0"/>
            </w:tcBorders>
            <w:vAlign w:val="center"/>
          </w:tcPr>
          <w:p>
            <w:pPr>
              <w:pStyle w:val="178"/>
            </w:pPr>
            <w:r>
              <w:rPr>
                <w:rFonts w:hint="eastAsia" w:hAnsi="宋体"/>
                <w:color w:val="000000"/>
                <w:szCs w:val="18"/>
              </w:rPr>
              <w:t>时　间</w:t>
            </w:r>
          </w:p>
        </w:tc>
        <w:tc>
          <w:tcPr>
            <w:tcW w:w="5387" w:type="dxa"/>
            <w:tcBorders>
              <w:top w:val="single" w:color="000000" w:sz="12" w:space="0"/>
              <w:left w:val="nil"/>
              <w:bottom w:val="single" w:color="000000" w:sz="12" w:space="0"/>
              <w:right w:val="single" w:color="000000" w:sz="8" w:space="0"/>
            </w:tcBorders>
            <w:vAlign w:val="center"/>
          </w:tcPr>
          <w:p>
            <w:pPr>
              <w:pStyle w:val="178"/>
            </w:pPr>
            <w:r>
              <w:rPr>
                <w:rFonts w:hint="eastAsia" w:hAnsi="宋体"/>
                <w:color w:val="000000"/>
                <w:szCs w:val="18"/>
              </w:rPr>
              <w:t>饵料品种</w:t>
            </w:r>
          </w:p>
        </w:tc>
        <w:tc>
          <w:tcPr>
            <w:tcW w:w="1694" w:type="dxa"/>
            <w:tcBorders>
              <w:top w:val="single" w:color="000000" w:sz="12" w:space="0"/>
              <w:left w:val="nil"/>
              <w:bottom w:val="single" w:color="000000" w:sz="12" w:space="0"/>
              <w:right w:val="single" w:color="000000" w:sz="12" w:space="0"/>
            </w:tcBorders>
            <w:vAlign w:val="center"/>
          </w:tcPr>
          <w:p>
            <w:pPr>
              <w:pStyle w:val="178"/>
            </w:pPr>
            <w:r>
              <w:rPr>
                <w:rFonts w:hint="eastAsia" w:hAnsi="宋体"/>
                <w:color w:val="000000"/>
                <w:szCs w:val="18"/>
              </w:rPr>
              <w:t>日投饲率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3" w:type="dxa"/>
            <w:tcBorders>
              <w:top w:val="single" w:color="000000" w:sz="12" w:space="0"/>
              <w:left w:val="single" w:color="000000" w:sz="12" w:space="0"/>
              <w:bottom w:val="single" w:color="000000" w:sz="8" w:space="0"/>
              <w:right w:val="single" w:color="000000" w:sz="8" w:space="0"/>
            </w:tcBorders>
          </w:tcPr>
          <w:p>
            <w:pPr>
              <w:pStyle w:val="178"/>
            </w:pPr>
            <w:r>
              <w:rPr>
                <w:rFonts w:hint="eastAsia" w:hAnsi="宋体"/>
                <w:color w:val="000000"/>
                <w:szCs w:val="18"/>
              </w:rPr>
              <w:t>3月～4月（第1壳前后）</w:t>
            </w:r>
          </w:p>
        </w:tc>
        <w:tc>
          <w:tcPr>
            <w:tcW w:w="5387" w:type="dxa"/>
            <w:tcBorders>
              <w:top w:val="single" w:color="000000" w:sz="12" w:space="0"/>
              <w:left w:val="nil"/>
              <w:bottom w:val="single" w:color="000000" w:sz="8" w:space="0"/>
              <w:right w:val="single" w:color="000000" w:sz="8" w:space="0"/>
            </w:tcBorders>
          </w:tcPr>
          <w:p>
            <w:pPr>
              <w:pStyle w:val="178"/>
              <w:jc w:val="left"/>
            </w:pPr>
            <w:r>
              <w:rPr>
                <w:rFonts w:hint="eastAsia" w:hAnsi="宋体"/>
                <w:color w:val="000000"/>
                <w:szCs w:val="18"/>
              </w:rPr>
              <w:t>蛋白含量40%以上的配合饲料为主，可搭配发酵料。</w:t>
            </w:r>
          </w:p>
        </w:tc>
        <w:tc>
          <w:tcPr>
            <w:tcW w:w="1694" w:type="dxa"/>
            <w:tcBorders>
              <w:top w:val="single" w:color="000000" w:sz="12" w:space="0"/>
              <w:left w:val="nil"/>
              <w:bottom w:val="single" w:color="000000" w:sz="8" w:space="0"/>
              <w:right w:val="single" w:color="000000" w:sz="12" w:space="0"/>
            </w:tcBorders>
          </w:tcPr>
          <w:p>
            <w:pPr>
              <w:pStyle w:val="178"/>
            </w:pPr>
            <w:r>
              <w:rPr>
                <w:rFonts w:hint="eastAsia" w:hAnsi="宋体"/>
                <w:color w:val="000000"/>
                <w:szCs w:val="18"/>
              </w:rPr>
              <w:t>1 %左右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3" w:type="dxa"/>
            <w:tcBorders>
              <w:top w:val="single" w:color="000000" w:sz="8" w:space="0"/>
              <w:left w:val="single" w:color="000000" w:sz="12" w:space="0"/>
              <w:bottom w:val="single" w:color="000000" w:sz="8" w:space="0"/>
              <w:right w:val="single" w:color="000000" w:sz="8" w:space="0"/>
            </w:tcBorders>
          </w:tcPr>
          <w:p>
            <w:pPr>
              <w:pStyle w:val="178"/>
            </w:pPr>
            <w:r>
              <w:rPr>
                <w:rFonts w:hint="eastAsia" w:hAnsi="宋体"/>
                <w:color w:val="000000"/>
                <w:szCs w:val="18"/>
              </w:rPr>
              <w:t>5月～6月（第2～3壳）</w:t>
            </w:r>
          </w:p>
        </w:tc>
        <w:tc>
          <w:tcPr>
            <w:tcW w:w="5387" w:type="dxa"/>
            <w:tcBorders>
              <w:top w:val="single" w:color="000000" w:sz="8" w:space="0"/>
              <w:left w:val="nil"/>
              <w:bottom w:val="single" w:color="000000" w:sz="8" w:space="0"/>
              <w:right w:val="single" w:color="000000" w:sz="8" w:space="0"/>
            </w:tcBorders>
          </w:tcPr>
          <w:p>
            <w:pPr>
              <w:pStyle w:val="178"/>
              <w:jc w:val="left"/>
            </w:pPr>
            <w:r>
              <w:rPr>
                <w:rFonts w:hint="eastAsia" w:hAnsi="宋体"/>
                <w:color w:val="000000"/>
                <w:szCs w:val="18"/>
              </w:rPr>
              <w:t>蛋白含量40%左右的配合饲料为主，同时每亩投喂0.25 kg左右的玉米，以熟化后的发酵玉米为宜。</w:t>
            </w:r>
          </w:p>
        </w:tc>
        <w:tc>
          <w:tcPr>
            <w:tcW w:w="1694" w:type="dxa"/>
            <w:tcBorders>
              <w:top w:val="single" w:color="000000" w:sz="8" w:space="0"/>
              <w:left w:val="nil"/>
              <w:bottom w:val="single" w:color="000000" w:sz="8" w:space="0"/>
              <w:right w:val="single" w:color="000000" w:sz="12" w:space="0"/>
            </w:tcBorders>
          </w:tcPr>
          <w:p>
            <w:pPr>
              <w:pStyle w:val="178"/>
            </w:pPr>
            <w:r>
              <w:rPr>
                <w:rFonts w:hint="eastAsia" w:hAnsi="宋体"/>
                <w:color w:val="000000"/>
                <w:szCs w:val="18"/>
              </w:rPr>
              <w:t>1.5 %～3 %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3" w:type="dxa"/>
            <w:tcBorders>
              <w:top w:val="single" w:color="000000" w:sz="8" w:space="0"/>
              <w:left w:val="single" w:color="000000" w:sz="12" w:space="0"/>
              <w:bottom w:val="single" w:color="000000" w:sz="8" w:space="0"/>
              <w:right w:val="single" w:color="000000" w:sz="8" w:space="0"/>
            </w:tcBorders>
          </w:tcPr>
          <w:p>
            <w:pPr>
              <w:pStyle w:val="178"/>
            </w:pPr>
            <w:r>
              <w:rPr>
                <w:rFonts w:hint="eastAsia" w:hAnsi="宋体"/>
                <w:color w:val="000000"/>
                <w:szCs w:val="18"/>
              </w:rPr>
              <w:t>7月～8月（第4～5壳）</w:t>
            </w:r>
          </w:p>
        </w:tc>
        <w:tc>
          <w:tcPr>
            <w:tcW w:w="5387" w:type="dxa"/>
            <w:tcBorders>
              <w:top w:val="single" w:color="000000" w:sz="8" w:space="0"/>
              <w:left w:val="nil"/>
              <w:bottom w:val="single" w:color="000000" w:sz="8" w:space="0"/>
              <w:right w:val="single" w:color="000000" w:sz="8" w:space="0"/>
            </w:tcBorders>
          </w:tcPr>
          <w:p>
            <w:pPr>
              <w:pStyle w:val="178"/>
              <w:jc w:val="left"/>
            </w:pPr>
            <w:r>
              <w:rPr>
                <w:rFonts w:hint="eastAsia" w:hAnsi="宋体"/>
                <w:color w:val="000000"/>
                <w:szCs w:val="18"/>
              </w:rPr>
              <w:t>蛋白含量38%左右的配合饲料为主，同时玉米投喂量逐步加到每亩0.5 kg～1.0 kg。</w:t>
            </w:r>
          </w:p>
        </w:tc>
        <w:tc>
          <w:tcPr>
            <w:tcW w:w="1694" w:type="dxa"/>
            <w:tcBorders>
              <w:top w:val="single" w:color="000000" w:sz="8" w:space="0"/>
              <w:left w:val="nil"/>
              <w:bottom w:val="single" w:color="000000" w:sz="8" w:space="0"/>
              <w:right w:val="single" w:color="000000" w:sz="12" w:space="0"/>
            </w:tcBorders>
          </w:tcPr>
          <w:p>
            <w:pPr>
              <w:pStyle w:val="178"/>
            </w:pPr>
            <w:r>
              <w:rPr>
                <w:rFonts w:hint="eastAsia" w:hAnsi="宋体"/>
                <w:color w:val="000000"/>
                <w:szCs w:val="18"/>
              </w:rPr>
              <w:t>2 %～3 %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253" w:type="dxa"/>
            <w:tcBorders>
              <w:top w:val="single" w:color="000000" w:sz="8" w:space="0"/>
              <w:left w:val="single" w:color="000000" w:sz="12" w:space="0"/>
              <w:bottom w:val="single" w:color="000000" w:sz="12" w:space="0"/>
              <w:right w:val="single" w:color="000000" w:sz="8" w:space="0"/>
            </w:tcBorders>
          </w:tcPr>
          <w:p>
            <w:pPr>
              <w:pStyle w:val="178"/>
            </w:pPr>
            <w:r>
              <w:rPr>
                <w:rFonts w:hint="eastAsia" w:hAnsi="宋体"/>
                <w:color w:val="000000"/>
                <w:szCs w:val="18"/>
              </w:rPr>
              <w:t>9月～10月（第5壳之后）</w:t>
            </w:r>
          </w:p>
        </w:tc>
        <w:tc>
          <w:tcPr>
            <w:tcW w:w="5387" w:type="dxa"/>
            <w:tcBorders>
              <w:top w:val="single" w:color="000000" w:sz="8" w:space="0"/>
              <w:left w:val="nil"/>
              <w:bottom w:val="single" w:color="000000" w:sz="12" w:space="0"/>
              <w:right w:val="single" w:color="000000" w:sz="8" w:space="0"/>
            </w:tcBorders>
          </w:tcPr>
          <w:p>
            <w:pPr>
              <w:pStyle w:val="178"/>
              <w:jc w:val="left"/>
            </w:pPr>
            <w:r>
              <w:rPr>
                <w:rFonts w:hint="eastAsia" w:hAnsi="宋体"/>
                <w:color w:val="000000"/>
                <w:szCs w:val="18"/>
              </w:rPr>
              <w:t>蛋白含量40%以上的配合饲料为主，同时玉米投喂量逐步加到每亩1.5 kg～2.0 kg。</w:t>
            </w:r>
          </w:p>
        </w:tc>
        <w:tc>
          <w:tcPr>
            <w:tcW w:w="1694" w:type="dxa"/>
            <w:tcBorders>
              <w:top w:val="single" w:color="000000" w:sz="8" w:space="0"/>
              <w:left w:val="nil"/>
              <w:bottom w:val="single" w:color="000000" w:sz="12" w:space="0"/>
              <w:right w:val="single" w:color="000000" w:sz="12" w:space="0"/>
            </w:tcBorders>
          </w:tcPr>
          <w:p>
            <w:pPr>
              <w:pStyle w:val="178"/>
            </w:pPr>
            <w:r>
              <w:rPr>
                <w:rFonts w:hint="eastAsia" w:hAnsi="宋体"/>
                <w:color w:val="000000"/>
                <w:szCs w:val="18"/>
              </w:rPr>
              <w:t>2 5%～4 %</w:t>
            </w:r>
          </w:p>
        </w:tc>
      </w:tr>
      <w:bookmarkEnd w:id="45"/>
    </w:tbl>
    <w:p>
      <w:pPr>
        <w:pStyle w:val="56"/>
        <w:ind w:firstLine="0" w:firstLineChars="0"/>
        <w:jc w:val="center"/>
      </w:pPr>
      <w:bookmarkStart w:id="47" w:name="BookMark8"/>
      <w:r>
        <w:drawing>
          <wp:inline distT="0" distB="0" distL="0" distR="0">
            <wp:extent cx="1485900" cy="317500"/>
            <wp:effectExtent l="0" t="0" r="0" b="6350"/>
            <wp:docPr id="1092489344" name="图片 1"/>
            <wp:cNvGraphicFramePr/>
            <a:graphic xmlns:a="http://schemas.openxmlformats.org/drawingml/2006/main">
              <a:graphicData uri="http://schemas.openxmlformats.org/drawingml/2006/picture">
                <pic:pic xmlns:pic="http://schemas.openxmlformats.org/drawingml/2006/picture">
                  <pic:nvPicPr>
                    <pic:cNvPr id="1092489344"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headerReference r:id="rId23" w:type="default"/>
      <w:footerReference r:id="rId25" w:type="default"/>
      <w:headerReference r:id="rId24" w:type="even"/>
      <w:footerReference r:id="rId26"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3213/T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3213/T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XmSmSpW6tZZTeBTvOZR33PLb2GAs4+EyuCUKlFEQ8RM1bLOWDZkWqtnCNhzUi6Pekk2NqmJHc3PcMOy5vWB0Mg==" w:salt="o90i+DryT4MA0UdotrjpO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2MTI5ZDY3Mjc0NjIxYzQ5YjViNzRkZTIzNjc1NTMifQ=="/>
  </w:docVars>
  <w:rsids>
    <w:rsidRoot w:val="00274DC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755E"/>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DC6"/>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0BF"/>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A3E"/>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0D1A"/>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EF1"/>
    <w:rsid w:val="004E4AA5"/>
    <w:rsid w:val="004E4AEE"/>
    <w:rsid w:val="004E59E3"/>
    <w:rsid w:val="004E67C0"/>
    <w:rsid w:val="004F391A"/>
    <w:rsid w:val="004F3CFB"/>
    <w:rsid w:val="004F6456"/>
    <w:rsid w:val="004F696E"/>
    <w:rsid w:val="004F6C71"/>
    <w:rsid w:val="00500CCC"/>
    <w:rsid w:val="00501139"/>
    <w:rsid w:val="0050363E"/>
    <w:rsid w:val="005039BC"/>
    <w:rsid w:val="005043BB"/>
    <w:rsid w:val="00504A3D"/>
    <w:rsid w:val="00505767"/>
    <w:rsid w:val="005073F0"/>
    <w:rsid w:val="00510A7B"/>
    <w:rsid w:val="00512F6E"/>
    <w:rsid w:val="00513038"/>
    <w:rsid w:val="00514174"/>
    <w:rsid w:val="00516088"/>
    <w:rsid w:val="00516B0B"/>
    <w:rsid w:val="00521A4F"/>
    <w:rsid w:val="00521E0D"/>
    <w:rsid w:val="005220EC"/>
    <w:rsid w:val="00523F95"/>
    <w:rsid w:val="00524D65"/>
    <w:rsid w:val="00525B16"/>
    <w:rsid w:val="00533D04"/>
    <w:rsid w:val="00534804"/>
    <w:rsid w:val="00534BDF"/>
    <w:rsid w:val="005354EA"/>
    <w:rsid w:val="0053585F"/>
    <w:rsid w:val="00535EC4"/>
    <w:rsid w:val="00535ED9"/>
    <w:rsid w:val="0053692B"/>
    <w:rsid w:val="00541853"/>
    <w:rsid w:val="00543B36"/>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406"/>
    <w:rsid w:val="006015CE"/>
    <w:rsid w:val="00604784"/>
    <w:rsid w:val="00606419"/>
    <w:rsid w:val="00607D29"/>
    <w:rsid w:val="00612952"/>
    <w:rsid w:val="00614CC1"/>
    <w:rsid w:val="00615A9D"/>
    <w:rsid w:val="00617387"/>
    <w:rsid w:val="006205D6"/>
    <w:rsid w:val="00624645"/>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545"/>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3BC"/>
    <w:rsid w:val="00850222"/>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93C"/>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B1E"/>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D73"/>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08B1"/>
    <w:rsid w:val="00C013AD"/>
    <w:rsid w:val="00C04904"/>
    <w:rsid w:val="00C056B3"/>
    <w:rsid w:val="00C06523"/>
    <w:rsid w:val="00C103E5"/>
    <w:rsid w:val="00C13319"/>
    <w:rsid w:val="00C13EE9"/>
    <w:rsid w:val="00C21540"/>
    <w:rsid w:val="00C21906"/>
    <w:rsid w:val="00C21BFA"/>
    <w:rsid w:val="00C22148"/>
    <w:rsid w:val="00C24C8D"/>
    <w:rsid w:val="00C25FE2"/>
    <w:rsid w:val="00C26B53"/>
    <w:rsid w:val="00C279B2"/>
    <w:rsid w:val="00C33A7A"/>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FD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B7C9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3052"/>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FC93848"/>
    <w:rsid w:val="324837F3"/>
    <w:rsid w:val="3A3E7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basedOn w:val="28"/>
    <w:link w:val="230"/>
    <w:qFormat/>
    <w:locked/>
    <w:uiPriority w:val="99"/>
    <w:rPr>
      <w:rFonts w:ascii="宋体" w:hAnsi="Times New Roman"/>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glossaryDocument" Target="glossary/document.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2.jpeg"/><Relationship Id="rId28" Type="http://schemas.openxmlformats.org/officeDocument/2006/relationships/image" Target="media/image1.tiff"/><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D443115F0AA462B8044BD3AAB33EA65"/>
        <w:style w:val=""/>
        <w:category>
          <w:name w:val="常规"/>
          <w:gallery w:val="placeholder"/>
        </w:category>
        <w:types>
          <w:type w:val="bbPlcHdr"/>
        </w:types>
        <w:behaviors>
          <w:behavior w:val="content"/>
        </w:behaviors>
        <w:description w:val=""/>
        <w:guid w:val="{F3024C80-82E1-42C4-A2A7-CF2EFE2ED670}"/>
      </w:docPartPr>
      <w:docPartBody>
        <w:p>
          <w:pPr>
            <w:pStyle w:val="5"/>
          </w:pPr>
          <w:r>
            <w:rPr>
              <w:rStyle w:val="4"/>
              <w:rFonts w:hint="eastAsia"/>
            </w:rPr>
            <w:t>单击或点击此处输入文字。</w:t>
          </w:r>
        </w:p>
      </w:docPartBody>
    </w:docPart>
    <w:docPart>
      <w:docPartPr>
        <w:name w:val="F95CDD6611944252ABC2900A49A1CF1C"/>
        <w:style w:val=""/>
        <w:category>
          <w:name w:val="常规"/>
          <w:gallery w:val="placeholder"/>
        </w:category>
        <w:types>
          <w:type w:val="bbPlcHdr"/>
        </w:types>
        <w:behaviors>
          <w:behavior w:val="content"/>
        </w:behaviors>
        <w:description w:val=""/>
        <w:guid w:val="{BD8D465B-30B6-4D3D-A345-5E06E710E4EA}"/>
      </w:docPartPr>
      <w:docPartBody>
        <w:p>
          <w:pPr>
            <w:pStyle w:val="6"/>
          </w:pPr>
          <w:r>
            <w:rPr>
              <w:rStyle w:val="4"/>
              <w:rFonts w:hint="eastAsia"/>
            </w:rPr>
            <w:t>选择一项。</w:t>
          </w:r>
        </w:p>
      </w:docPartBody>
    </w:docPart>
    <w:docPart>
      <w:docPartPr>
        <w:name w:val="E0E4825339594ECFBA783100F269CBD3"/>
        <w:style w:val=""/>
        <w:category>
          <w:name w:val="常规"/>
          <w:gallery w:val="placeholder"/>
        </w:category>
        <w:types>
          <w:type w:val="bbPlcHdr"/>
        </w:types>
        <w:behaviors>
          <w:behavior w:val="content"/>
        </w:behaviors>
        <w:description w:val=""/>
        <w:guid w:val="{F9AC681B-5448-4E91-AE28-5C49B481BDC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37B"/>
    <w:rsid w:val="00315BB3"/>
    <w:rsid w:val="00493687"/>
    <w:rsid w:val="004C3326"/>
    <w:rsid w:val="005C537B"/>
    <w:rsid w:val="00680000"/>
    <w:rsid w:val="00A75E92"/>
    <w:rsid w:val="00EB1E9B"/>
    <w:rsid w:val="00FA5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6D443115F0AA462B8044BD3AAB33EA65"/>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F95CDD6611944252ABC2900A49A1CF1C"/>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E0E4825339594ECFBA783100F269CBD3"/>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2516</Words>
  <Characters>3146</Characters>
  <Lines>524</Lines>
  <Paragraphs>471</Paragraphs>
  <TotalTime>12</TotalTime>
  <ScaleCrop>false</ScaleCrop>
  <LinksUpToDate>false</LinksUpToDate>
  <CharactersWithSpaces>5191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2023-09-19T09:37:00Z</dcterms:created>
  <dc:creator>泗洪县水产技术推广站</dc:creator>
  <dc:description>&lt;config cover="true" show_menu="true" version="1.0.0" doctype="SDKXY"&gt;_x000d_
&lt;/config&gt;</dc:description>
  <cp:lastModifiedBy>李军</cp:lastModifiedBy>
  <cp:lastPrinted>2023-09-20T02:21:00Z</cp:lastPrinted>
  <dcterms:modified xsi:type="dcterms:W3CDTF">2023-09-20T08:16:47Z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2052-12.1.0.15374</vt:lpwstr>
  </property>
  <property fmtid="{D5CDD505-2E9C-101B-9397-08002B2CF9AE}" pid="16" name="ICV">
    <vt:lpwstr>C9C5C6749EFC450B8C107210ED8B86F8_12</vt:lpwstr>
  </property>
</Properties>
</file>